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29" w:rsidRPr="00827416" w:rsidRDefault="00196DED" w:rsidP="00196DED">
      <w:pPr>
        <w:pStyle w:val="NoSpacing"/>
        <w:jc w:val="center"/>
        <w:rPr>
          <w:rFonts w:ascii="Gill Sans MT" w:hAnsi="Gill Sans MT"/>
          <w:sz w:val="28"/>
          <w:szCs w:val="28"/>
        </w:rPr>
      </w:pPr>
      <w:r w:rsidRPr="00827416">
        <w:rPr>
          <w:rFonts w:ascii="Gill Sans MT" w:hAnsi="Gill Sans MT"/>
          <w:sz w:val="28"/>
          <w:szCs w:val="28"/>
        </w:rPr>
        <w:t>Scotland and Brexit</w:t>
      </w:r>
    </w:p>
    <w:p w:rsidR="00196DED" w:rsidRDefault="00806AEA" w:rsidP="00196DED">
      <w:pPr>
        <w:pStyle w:val="NoSpacing"/>
        <w:jc w:val="center"/>
        <w:rPr>
          <w:rFonts w:ascii="Gill Sans MT" w:hAnsi="Gill Sans MT"/>
          <w:sz w:val="28"/>
          <w:szCs w:val="28"/>
        </w:rPr>
      </w:pPr>
      <w:r>
        <w:rPr>
          <w:rFonts w:ascii="Gill Sans MT" w:hAnsi="Gill Sans MT"/>
          <w:sz w:val="28"/>
          <w:szCs w:val="28"/>
        </w:rPr>
        <w:t>‘</w:t>
      </w:r>
      <w:r w:rsidR="00A866A5" w:rsidRPr="00827416">
        <w:rPr>
          <w:rFonts w:ascii="Gill Sans MT" w:hAnsi="Gill Sans MT"/>
          <w:sz w:val="28"/>
          <w:szCs w:val="28"/>
        </w:rPr>
        <w:t>Independence in Europe</w:t>
      </w:r>
      <w:r>
        <w:rPr>
          <w:rFonts w:ascii="Gill Sans MT" w:hAnsi="Gill Sans MT"/>
          <w:sz w:val="28"/>
          <w:szCs w:val="28"/>
        </w:rPr>
        <w:t>’</w:t>
      </w:r>
      <w:r w:rsidR="00A866A5" w:rsidRPr="00827416">
        <w:rPr>
          <w:rFonts w:ascii="Gill Sans MT" w:hAnsi="Gill Sans MT"/>
          <w:sz w:val="28"/>
          <w:szCs w:val="28"/>
        </w:rPr>
        <w:t xml:space="preserve"> – or </w:t>
      </w:r>
      <w:r>
        <w:rPr>
          <w:rFonts w:ascii="Gill Sans MT" w:hAnsi="Gill Sans MT"/>
          <w:sz w:val="28"/>
          <w:szCs w:val="28"/>
        </w:rPr>
        <w:t>E</w:t>
      </w:r>
      <w:r w:rsidR="00A866A5" w:rsidRPr="00827416">
        <w:rPr>
          <w:rFonts w:ascii="Gill Sans MT" w:hAnsi="Gill Sans MT"/>
          <w:sz w:val="28"/>
          <w:szCs w:val="28"/>
        </w:rPr>
        <w:t xml:space="preserve">conomic </w:t>
      </w:r>
      <w:proofErr w:type="gramStart"/>
      <w:r>
        <w:rPr>
          <w:rFonts w:ascii="Gill Sans MT" w:hAnsi="Gill Sans MT"/>
          <w:sz w:val="28"/>
          <w:szCs w:val="28"/>
        </w:rPr>
        <w:t>D</w:t>
      </w:r>
      <w:r w:rsidR="00A866A5" w:rsidRPr="00827416">
        <w:rPr>
          <w:rFonts w:ascii="Gill Sans MT" w:hAnsi="Gill Sans MT"/>
          <w:sz w:val="28"/>
          <w:szCs w:val="28"/>
        </w:rPr>
        <w:t>emocracy ?</w:t>
      </w:r>
      <w:proofErr w:type="gramEnd"/>
    </w:p>
    <w:p w:rsidR="00727DBC" w:rsidRPr="00827416" w:rsidRDefault="00727DBC" w:rsidP="00196DED">
      <w:pPr>
        <w:pStyle w:val="NoSpacing"/>
        <w:jc w:val="center"/>
        <w:rPr>
          <w:rFonts w:ascii="Gill Sans MT" w:hAnsi="Gill Sans MT"/>
          <w:sz w:val="28"/>
          <w:szCs w:val="28"/>
        </w:rPr>
      </w:pPr>
    </w:p>
    <w:p w:rsidR="00E534E9" w:rsidRPr="00E534E9" w:rsidRDefault="00E534E9" w:rsidP="00E534E9">
      <w:pPr>
        <w:pStyle w:val="NoSpacing"/>
        <w:jc w:val="center"/>
        <w:rPr>
          <w:rFonts w:ascii="Gill Sans MT" w:hAnsi="Gill Sans MT"/>
          <w:b/>
          <w:i/>
          <w:sz w:val="20"/>
          <w:szCs w:val="20"/>
        </w:rPr>
      </w:pPr>
      <w:r w:rsidRPr="00E534E9">
        <w:rPr>
          <w:rFonts w:ascii="Gill Sans MT" w:hAnsi="Gill Sans MT"/>
          <w:b/>
          <w:i/>
          <w:sz w:val="20"/>
          <w:szCs w:val="20"/>
        </w:rPr>
        <w:t>Paper for 19 July conference of the Institute of Employment Rights</w:t>
      </w:r>
    </w:p>
    <w:p w:rsidR="00E534E9" w:rsidRPr="003E4FE4" w:rsidRDefault="00E534E9" w:rsidP="00E534E9">
      <w:pPr>
        <w:pStyle w:val="NoSpacing"/>
        <w:jc w:val="center"/>
        <w:rPr>
          <w:rFonts w:ascii="Gill Sans MT" w:hAnsi="Gill Sans MT"/>
        </w:rPr>
      </w:pPr>
    </w:p>
    <w:p w:rsidR="00196DED" w:rsidRPr="003E4FE4" w:rsidRDefault="00D424B4" w:rsidP="00196DED">
      <w:pPr>
        <w:pStyle w:val="NoSpacing"/>
        <w:rPr>
          <w:rFonts w:ascii="Gill Sans MT" w:hAnsi="Gill Sans MT"/>
        </w:rPr>
      </w:pPr>
      <w:r w:rsidRPr="003E4FE4">
        <w:rPr>
          <w:rFonts w:ascii="Gill Sans MT" w:hAnsi="Gill Sans MT"/>
        </w:rPr>
        <w:t>It’s tempting to start any discussion of contemporary Scotland with the term used by Hugh Mac</w:t>
      </w:r>
      <w:r w:rsidR="002562A0" w:rsidRPr="003E4FE4">
        <w:rPr>
          <w:rFonts w:ascii="Gill Sans MT" w:hAnsi="Gill Sans MT"/>
        </w:rPr>
        <w:t>D</w:t>
      </w:r>
      <w:r w:rsidRPr="003E4FE4">
        <w:rPr>
          <w:rFonts w:ascii="Gill Sans MT" w:hAnsi="Gill Sans MT"/>
        </w:rPr>
        <w:t xml:space="preserve">iarmid to </w:t>
      </w:r>
      <w:r w:rsidR="006F058F" w:rsidRPr="003E4FE4">
        <w:rPr>
          <w:rFonts w:ascii="Gill Sans MT" w:hAnsi="Gill Sans MT"/>
        </w:rPr>
        <w:t>describe</w:t>
      </w:r>
      <w:r w:rsidR="001A4845" w:rsidRPr="003E4FE4">
        <w:rPr>
          <w:rFonts w:ascii="Gill Sans MT" w:hAnsi="Gill Sans MT"/>
        </w:rPr>
        <w:t xml:space="preserve"> the volatile mentality of</w:t>
      </w:r>
      <w:r w:rsidRPr="003E4FE4">
        <w:rPr>
          <w:rFonts w:ascii="Gill Sans MT" w:hAnsi="Gill Sans MT"/>
        </w:rPr>
        <w:t xml:space="preserve"> his country: ‘</w:t>
      </w:r>
      <w:r w:rsidR="00E71505" w:rsidRPr="003E4FE4">
        <w:rPr>
          <w:rFonts w:ascii="Gill Sans MT" w:hAnsi="Gill Sans MT"/>
        </w:rPr>
        <w:t>C</w:t>
      </w:r>
      <w:r w:rsidRPr="003E4FE4">
        <w:rPr>
          <w:rFonts w:ascii="Gill Sans MT" w:hAnsi="Gill Sans MT"/>
        </w:rPr>
        <w:t xml:space="preserve">aledonian </w:t>
      </w:r>
      <w:proofErr w:type="spellStart"/>
      <w:r w:rsidRPr="003E4FE4">
        <w:rPr>
          <w:rFonts w:ascii="Gill Sans MT" w:hAnsi="Gill Sans MT"/>
        </w:rPr>
        <w:t>antisyzygy</w:t>
      </w:r>
      <w:proofErr w:type="spellEnd"/>
      <w:r w:rsidRPr="003E4FE4">
        <w:rPr>
          <w:rFonts w:ascii="Gill Sans MT" w:hAnsi="Gill Sans MT"/>
        </w:rPr>
        <w:t>’ – the</w:t>
      </w:r>
      <w:r w:rsidR="008E3E27" w:rsidRPr="003E4FE4">
        <w:rPr>
          <w:rFonts w:ascii="Gill Sans MT" w:hAnsi="Gill Sans MT"/>
        </w:rPr>
        <w:t xml:space="preserve"> yoking together </w:t>
      </w:r>
      <w:r w:rsidRPr="003E4FE4">
        <w:rPr>
          <w:rFonts w:ascii="Gill Sans MT" w:hAnsi="Gill Sans MT"/>
        </w:rPr>
        <w:t>of</w:t>
      </w:r>
      <w:r w:rsidR="004975B1" w:rsidRPr="003E4FE4">
        <w:rPr>
          <w:rFonts w:ascii="Gill Sans MT" w:hAnsi="Gill Sans MT"/>
        </w:rPr>
        <w:t xml:space="preserve"> contradictory </w:t>
      </w:r>
      <w:r w:rsidRPr="003E4FE4">
        <w:rPr>
          <w:rFonts w:ascii="Gill Sans MT" w:hAnsi="Gill Sans MT"/>
        </w:rPr>
        <w:t>extremes</w:t>
      </w:r>
      <w:r w:rsidR="008E3E27" w:rsidRPr="003E4FE4">
        <w:rPr>
          <w:rFonts w:ascii="Gill Sans MT" w:hAnsi="Gill Sans MT"/>
        </w:rPr>
        <w:t>.</w:t>
      </w:r>
      <w:r w:rsidR="004975B1" w:rsidRPr="003E4FE4">
        <w:rPr>
          <w:rFonts w:ascii="Gill Sans MT" w:hAnsi="Gill Sans MT"/>
        </w:rPr>
        <w:t xml:space="preserve">  You think you have a fix on Scottish politics</w:t>
      </w:r>
      <w:r w:rsidR="001A4845" w:rsidRPr="003E4FE4">
        <w:rPr>
          <w:rFonts w:ascii="Gill Sans MT" w:hAnsi="Gill Sans MT"/>
        </w:rPr>
        <w:t>. T</w:t>
      </w:r>
      <w:r w:rsidR="004975B1" w:rsidRPr="003E4FE4">
        <w:rPr>
          <w:rFonts w:ascii="Gill Sans MT" w:hAnsi="Gill Sans MT"/>
        </w:rPr>
        <w:t xml:space="preserve">he next minute it’s gone.   A century ago Scotland was politically the most </w:t>
      </w:r>
      <w:r w:rsidR="00E71505" w:rsidRPr="003E4FE4">
        <w:rPr>
          <w:rFonts w:ascii="Gill Sans MT" w:hAnsi="Gill Sans MT"/>
        </w:rPr>
        <w:t>C</w:t>
      </w:r>
      <w:r w:rsidR="004975B1" w:rsidRPr="003E4FE4">
        <w:rPr>
          <w:rFonts w:ascii="Gill Sans MT" w:hAnsi="Gill Sans MT"/>
        </w:rPr>
        <w:t xml:space="preserve">onservative part of the British </w:t>
      </w:r>
      <w:r w:rsidR="001A4845" w:rsidRPr="003E4FE4">
        <w:rPr>
          <w:rFonts w:ascii="Gill Sans MT" w:hAnsi="Gill Sans MT"/>
        </w:rPr>
        <w:t>I</w:t>
      </w:r>
      <w:r w:rsidR="004975B1" w:rsidRPr="003E4FE4">
        <w:rPr>
          <w:rFonts w:ascii="Gill Sans MT" w:hAnsi="Gill Sans MT"/>
        </w:rPr>
        <w:t xml:space="preserve">sles.  </w:t>
      </w:r>
      <w:r w:rsidR="00E71505" w:rsidRPr="003E4FE4">
        <w:rPr>
          <w:rFonts w:ascii="Gill Sans MT" w:hAnsi="Gill Sans MT"/>
        </w:rPr>
        <w:t>By the beginning of this century the Conservatives had been wiped out and Labour was totally dominant.  By 2015 Labour had been wiped out and the SNP was totally dominant.  When the title of this paper was originally discussed</w:t>
      </w:r>
      <w:r w:rsidR="00E534E9">
        <w:rPr>
          <w:rFonts w:ascii="Gill Sans MT" w:hAnsi="Gill Sans MT"/>
        </w:rPr>
        <w:t>,</w:t>
      </w:r>
      <w:r w:rsidR="00E71505" w:rsidRPr="003E4FE4">
        <w:rPr>
          <w:rFonts w:ascii="Gill Sans MT" w:hAnsi="Gill Sans MT"/>
        </w:rPr>
        <w:t xml:space="preserve"> it was assumed that Scotland’s SNP 56 MPs </w:t>
      </w:r>
      <w:r w:rsidR="00B077DB" w:rsidRPr="003E4FE4">
        <w:rPr>
          <w:rFonts w:ascii="Gill Sans MT" w:hAnsi="Gill Sans MT"/>
        </w:rPr>
        <w:t xml:space="preserve">would be </w:t>
      </w:r>
      <w:r w:rsidR="00E71505" w:rsidRPr="003E4FE4">
        <w:rPr>
          <w:rFonts w:ascii="Gill Sans MT" w:hAnsi="Gill Sans MT"/>
        </w:rPr>
        <w:t>seeking to play a determining</w:t>
      </w:r>
      <w:r w:rsidR="00B077DB" w:rsidRPr="003E4FE4">
        <w:rPr>
          <w:rFonts w:ascii="Gill Sans MT" w:hAnsi="Gill Sans MT"/>
        </w:rPr>
        <w:t xml:space="preserve"> role</w:t>
      </w:r>
      <w:r w:rsidR="00E71505" w:rsidRPr="003E4FE4">
        <w:rPr>
          <w:rFonts w:ascii="Gill Sans MT" w:hAnsi="Gill Sans MT"/>
        </w:rPr>
        <w:t xml:space="preserve"> in the EU negotiations</w:t>
      </w:r>
      <w:r w:rsidR="001A4845" w:rsidRPr="003E4FE4">
        <w:rPr>
          <w:rFonts w:ascii="Gill Sans MT" w:hAnsi="Gill Sans MT"/>
        </w:rPr>
        <w:t>.  Now they’ve gone and the SNP heartland</w:t>
      </w:r>
      <w:r w:rsidR="003F0F20">
        <w:rPr>
          <w:rFonts w:ascii="Gill Sans MT" w:hAnsi="Gill Sans MT"/>
        </w:rPr>
        <w:t xml:space="preserve"> has</w:t>
      </w:r>
      <w:r w:rsidR="001A4845" w:rsidRPr="003E4FE4">
        <w:rPr>
          <w:rFonts w:ascii="Gill Sans MT" w:hAnsi="Gill Sans MT"/>
        </w:rPr>
        <w:t xml:space="preserve"> turned Conservative.  </w:t>
      </w:r>
    </w:p>
    <w:p w:rsidR="001A4845" w:rsidRPr="003E4FE4" w:rsidRDefault="001A4845" w:rsidP="00196DED">
      <w:pPr>
        <w:pStyle w:val="NoSpacing"/>
        <w:rPr>
          <w:rFonts w:ascii="Gill Sans MT" w:hAnsi="Gill Sans MT"/>
        </w:rPr>
      </w:pPr>
    </w:p>
    <w:p w:rsidR="001A4845" w:rsidRPr="003E4FE4" w:rsidRDefault="001A4845" w:rsidP="00196DED">
      <w:pPr>
        <w:pStyle w:val="NoSpacing"/>
        <w:rPr>
          <w:rFonts w:ascii="Gill Sans MT" w:hAnsi="Gill Sans MT"/>
        </w:rPr>
      </w:pPr>
      <w:r w:rsidRPr="003E4FE4">
        <w:rPr>
          <w:rFonts w:ascii="Gill Sans MT" w:hAnsi="Gill Sans MT"/>
        </w:rPr>
        <w:t>Nonetheless,</w:t>
      </w:r>
      <w:r w:rsidR="003B4014" w:rsidRPr="003E4FE4">
        <w:rPr>
          <w:rFonts w:ascii="Gill Sans MT" w:hAnsi="Gill Sans MT"/>
        </w:rPr>
        <w:t xml:space="preserve"> </w:t>
      </w:r>
      <w:r w:rsidR="00CD4E7D" w:rsidRPr="003E4FE4">
        <w:rPr>
          <w:rFonts w:ascii="Gill Sans MT" w:hAnsi="Gill Sans MT"/>
        </w:rPr>
        <w:t>wisely or not,</w:t>
      </w:r>
      <w:r w:rsidRPr="003E4FE4">
        <w:rPr>
          <w:rFonts w:ascii="Gill Sans MT" w:hAnsi="Gill Sans MT"/>
        </w:rPr>
        <w:t xml:space="preserve"> </w:t>
      </w:r>
      <w:r w:rsidR="007871F6" w:rsidRPr="003E4FE4">
        <w:rPr>
          <w:rFonts w:ascii="Gill Sans MT" w:hAnsi="Gill Sans MT"/>
        </w:rPr>
        <w:t>the paper will seek to draw some conclusions</w:t>
      </w:r>
      <w:r w:rsidR="003F0F20">
        <w:rPr>
          <w:rFonts w:ascii="Gill Sans MT" w:hAnsi="Gill Sans MT"/>
        </w:rPr>
        <w:t>:</w:t>
      </w:r>
    </w:p>
    <w:p w:rsidR="007871F6" w:rsidRPr="003E4FE4" w:rsidRDefault="007871F6" w:rsidP="00CD4E7D">
      <w:pPr>
        <w:pStyle w:val="NoSpacing"/>
        <w:numPr>
          <w:ilvl w:val="0"/>
          <w:numId w:val="1"/>
        </w:numPr>
        <w:rPr>
          <w:rFonts w:ascii="Gill Sans MT" w:hAnsi="Gill Sans MT"/>
        </w:rPr>
      </w:pPr>
      <w:r w:rsidRPr="003E4FE4">
        <w:rPr>
          <w:rFonts w:ascii="Gill Sans MT" w:hAnsi="Gill Sans MT"/>
        </w:rPr>
        <w:t>The</w:t>
      </w:r>
      <w:r w:rsidR="00827416">
        <w:rPr>
          <w:rFonts w:ascii="Gill Sans MT" w:hAnsi="Gill Sans MT"/>
        </w:rPr>
        <w:t xml:space="preserve"> </w:t>
      </w:r>
      <w:r w:rsidR="00EA6890">
        <w:rPr>
          <w:rFonts w:ascii="Gill Sans MT" w:hAnsi="Gill Sans MT"/>
        </w:rPr>
        <w:t>additional</w:t>
      </w:r>
      <w:r w:rsidRPr="003E4FE4">
        <w:rPr>
          <w:rFonts w:ascii="Gill Sans MT" w:hAnsi="Gill Sans MT"/>
        </w:rPr>
        <w:t xml:space="preserve"> support for the SNP and Scottish independence </w:t>
      </w:r>
      <w:r w:rsidR="00EA6890">
        <w:rPr>
          <w:rFonts w:ascii="Gill Sans MT" w:hAnsi="Gill Sans MT"/>
        </w:rPr>
        <w:t xml:space="preserve">in the three years to 2016 </w:t>
      </w:r>
      <w:r w:rsidRPr="003E4FE4">
        <w:rPr>
          <w:rFonts w:ascii="Gill Sans MT" w:hAnsi="Gill Sans MT"/>
        </w:rPr>
        <w:t>re</w:t>
      </w:r>
      <w:r w:rsidR="00827416">
        <w:rPr>
          <w:rFonts w:ascii="Gill Sans MT" w:hAnsi="Gill Sans MT"/>
        </w:rPr>
        <w:t>flected</w:t>
      </w:r>
      <w:r w:rsidRPr="003E4FE4">
        <w:rPr>
          <w:rFonts w:ascii="Gill Sans MT" w:hAnsi="Gill Sans MT"/>
        </w:rPr>
        <w:t xml:space="preserve"> a populist protest vote </w:t>
      </w:r>
      <w:r w:rsidR="00827416">
        <w:rPr>
          <w:rFonts w:ascii="Gill Sans MT" w:hAnsi="Gill Sans MT"/>
        </w:rPr>
        <w:t xml:space="preserve">more than </w:t>
      </w:r>
      <w:r w:rsidRPr="003E4FE4">
        <w:rPr>
          <w:rFonts w:ascii="Gill Sans MT" w:hAnsi="Gill Sans MT"/>
        </w:rPr>
        <w:t xml:space="preserve">an ideologically nationalist </w:t>
      </w:r>
      <w:r w:rsidR="009A7209">
        <w:rPr>
          <w:rFonts w:ascii="Gill Sans MT" w:hAnsi="Gill Sans MT"/>
        </w:rPr>
        <w:t>one</w:t>
      </w:r>
      <w:r w:rsidRPr="003E4FE4">
        <w:rPr>
          <w:rFonts w:ascii="Gill Sans MT" w:hAnsi="Gill Sans MT"/>
        </w:rPr>
        <w:t>.</w:t>
      </w:r>
    </w:p>
    <w:p w:rsidR="00EA6890" w:rsidRDefault="00E54229" w:rsidP="00A85BDA">
      <w:pPr>
        <w:pStyle w:val="NoSpacing"/>
        <w:numPr>
          <w:ilvl w:val="0"/>
          <w:numId w:val="1"/>
        </w:numPr>
        <w:rPr>
          <w:rFonts w:ascii="Gill Sans MT" w:hAnsi="Gill Sans MT"/>
        </w:rPr>
      </w:pPr>
      <w:r w:rsidRPr="00EA6890">
        <w:rPr>
          <w:rFonts w:ascii="Gill Sans MT" w:hAnsi="Gill Sans MT"/>
        </w:rPr>
        <w:t xml:space="preserve">Like populism elsewhere in the EU the driving force </w:t>
      </w:r>
      <w:r w:rsidR="00806AEA">
        <w:rPr>
          <w:rFonts w:ascii="Gill Sans MT" w:hAnsi="Gill Sans MT"/>
        </w:rPr>
        <w:t xml:space="preserve">was </w:t>
      </w:r>
      <w:r w:rsidRPr="00EA6890">
        <w:rPr>
          <w:rFonts w:ascii="Gill Sans MT" w:hAnsi="Gill Sans MT"/>
        </w:rPr>
        <w:t>austerity</w:t>
      </w:r>
      <w:r w:rsidR="00806AEA">
        <w:rPr>
          <w:rFonts w:ascii="Gill Sans MT" w:hAnsi="Gill Sans MT"/>
        </w:rPr>
        <w:t xml:space="preserve"> and anger against </w:t>
      </w:r>
      <w:r w:rsidR="00E534E9">
        <w:rPr>
          <w:rFonts w:ascii="Gill Sans MT" w:hAnsi="Gill Sans MT"/>
        </w:rPr>
        <w:t xml:space="preserve">remote power and </w:t>
      </w:r>
      <w:r w:rsidR="00806AEA">
        <w:rPr>
          <w:rFonts w:ascii="Gill Sans MT" w:hAnsi="Gill Sans MT"/>
        </w:rPr>
        <w:t>economic and social deprivation</w:t>
      </w:r>
    </w:p>
    <w:p w:rsidR="002562A0" w:rsidRPr="00EA6890" w:rsidRDefault="002562A0" w:rsidP="00A85BDA">
      <w:pPr>
        <w:pStyle w:val="NoSpacing"/>
        <w:numPr>
          <w:ilvl w:val="0"/>
          <w:numId w:val="1"/>
        </w:numPr>
        <w:rPr>
          <w:rFonts w:ascii="Gill Sans MT" w:hAnsi="Gill Sans MT"/>
        </w:rPr>
      </w:pPr>
      <w:r w:rsidRPr="00EA6890">
        <w:rPr>
          <w:rFonts w:ascii="Gill Sans MT" w:hAnsi="Gill Sans MT"/>
        </w:rPr>
        <w:t>The SNP’s demand for continuing EU membership, or at minimum membership of the Single Market,</w:t>
      </w:r>
      <w:r w:rsidR="004A7BDC" w:rsidRPr="00EA6890">
        <w:rPr>
          <w:rFonts w:ascii="Gill Sans MT" w:hAnsi="Gill Sans MT"/>
        </w:rPr>
        <w:t xml:space="preserve"> was</w:t>
      </w:r>
      <w:r w:rsidR="003E4FE4" w:rsidRPr="00EA6890">
        <w:rPr>
          <w:rFonts w:ascii="Gill Sans MT" w:hAnsi="Gill Sans MT"/>
        </w:rPr>
        <w:t>,</w:t>
      </w:r>
      <w:r w:rsidR="004A7BDC" w:rsidRPr="00EA6890">
        <w:rPr>
          <w:rFonts w:ascii="Gill Sans MT" w:hAnsi="Gill Sans MT"/>
        </w:rPr>
        <w:t xml:space="preserve"> and</w:t>
      </w:r>
      <w:r w:rsidRPr="00EA6890">
        <w:rPr>
          <w:rFonts w:ascii="Gill Sans MT" w:hAnsi="Gill Sans MT"/>
        </w:rPr>
        <w:t xml:space="preserve"> is</w:t>
      </w:r>
      <w:r w:rsidR="003E4FE4" w:rsidRPr="00EA6890">
        <w:rPr>
          <w:rFonts w:ascii="Gill Sans MT" w:hAnsi="Gill Sans MT"/>
        </w:rPr>
        <w:t>,</w:t>
      </w:r>
      <w:r w:rsidRPr="00EA6890">
        <w:rPr>
          <w:rFonts w:ascii="Gill Sans MT" w:hAnsi="Gill Sans MT"/>
        </w:rPr>
        <w:t xml:space="preserve"> a tactical device of </w:t>
      </w:r>
      <w:r w:rsidR="00827416" w:rsidRPr="00EA6890">
        <w:rPr>
          <w:rFonts w:ascii="Gill Sans MT" w:hAnsi="Gill Sans MT"/>
        </w:rPr>
        <w:t xml:space="preserve">little or no </w:t>
      </w:r>
      <w:r w:rsidRPr="00EA6890">
        <w:rPr>
          <w:rFonts w:ascii="Gill Sans MT" w:hAnsi="Gill Sans MT"/>
        </w:rPr>
        <w:t xml:space="preserve">relevance to the </w:t>
      </w:r>
      <w:r w:rsidR="006C06C6">
        <w:rPr>
          <w:rFonts w:ascii="Gill Sans MT" w:hAnsi="Gill Sans MT"/>
        </w:rPr>
        <w:t xml:space="preserve">material needs of the SNP voting base or to the </w:t>
      </w:r>
      <w:r w:rsidR="003B4014" w:rsidRPr="00EA6890">
        <w:rPr>
          <w:rFonts w:ascii="Gill Sans MT" w:hAnsi="Gill Sans MT"/>
        </w:rPr>
        <w:t>requirements</w:t>
      </w:r>
      <w:r w:rsidR="006C06C6">
        <w:rPr>
          <w:rFonts w:ascii="Gill Sans MT" w:hAnsi="Gill Sans MT"/>
        </w:rPr>
        <w:t xml:space="preserve"> of the Scottish economy</w:t>
      </w:r>
      <w:r w:rsidRPr="00EA6890">
        <w:rPr>
          <w:rFonts w:ascii="Gill Sans MT" w:hAnsi="Gill Sans MT"/>
        </w:rPr>
        <w:t>.</w:t>
      </w:r>
      <w:r w:rsidR="00827416" w:rsidRPr="00EA6890">
        <w:rPr>
          <w:rFonts w:ascii="Gill Sans MT" w:hAnsi="Gill Sans MT"/>
        </w:rPr>
        <w:t xml:space="preserve">  Hence the recent decline in support.</w:t>
      </w:r>
    </w:p>
    <w:p w:rsidR="003B4014" w:rsidRPr="006C06C6" w:rsidRDefault="006C06C6" w:rsidP="00CD4E7D">
      <w:pPr>
        <w:pStyle w:val="NoSpacing"/>
        <w:numPr>
          <w:ilvl w:val="0"/>
          <w:numId w:val="1"/>
        </w:numPr>
        <w:rPr>
          <w:rFonts w:ascii="Gill Sans MT" w:hAnsi="Gill Sans MT"/>
        </w:rPr>
      </w:pPr>
      <w:r w:rsidRPr="006C06C6">
        <w:rPr>
          <w:rFonts w:ascii="Gill Sans MT" w:hAnsi="Gill Sans MT"/>
        </w:rPr>
        <w:t>T</w:t>
      </w:r>
      <w:r w:rsidR="00D3362E" w:rsidRPr="006C06C6">
        <w:rPr>
          <w:rFonts w:ascii="Gill Sans MT" w:hAnsi="Gill Sans MT"/>
        </w:rPr>
        <w:t>he Labour Party Manifesto</w:t>
      </w:r>
      <w:r>
        <w:rPr>
          <w:rFonts w:ascii="Gill Sans MT" w:hAnsi="Gill Sans MT"/>
        </w:rPr>
        <w:t>,</w:t>
      </w:r>
      <w:r w:rsidR="00D3362E" w:rsidRPr="006C06C6">
        <w:rPr>
          <w:rFonts w:ascii="Gill Sans MT" w:hAnsi="Gill Sans MT"/>
        </w:rPr>
        <w:t xml:space="preserve"> and particularly its industrial strategy</w:t>
      </w:r>
      <w:r>
        <w:rPr>
          <w:rFonts w:ascii="Gill Sans MT" w:hAnsi="Gill Sans MT"/>
        </w:rPr>
        <w:t>,</w:t>
      </w:r>
      <w:r w:rsidRPr="006C06C6">
        <w:rPr>
          <w:rFonts w:ascii="Gill Sans MT" w:hAnsi="Gill Sans MT"/>
        </w:rPr>
        <w:t xml:space="preserve"> does address these needs and offers </w:t>
      </w:r>
      <w:r w:rsidR="003B4014" w:rsidRPr="006C06C6">
        <w:rPr>
          <w:rFonts w:ascii="Gill Sans MT" w:hAnsi="Gill Sans MT"/>
        </w:rPr>
        <w:t>some prospect for a redevelopment of class-based political allegiances</w:t>
      </w:r>
      <w:r w:rsidR="00E077A2" w:rsidRPr="006C06C6">
        <w:rPr>
          <w:rFonts w:ascii="Gill Sans MT" w:hAnsi="Gill Sans MT"/>
        </w:rPr>
        <w:t xml:space="preserve"> in Scotland</w:t>
      </w:r>
      <w:r w:rsidR="003B4014" w:rsidRPr="006C06C6">
        <w:rPr>
          <w:rFonts w:ascii="Gill Sans MT" w:hAnsi="Gill Sans MT"/>
        </w:rPr>
        <w:t>.</w:t>
      </w:r>
    </w:p>
    <w:p w:rsidR="00CD4E7D" w:rsidRPr="003E4FE4" w:rsidRDefault="00CD4E7D" w:rsidP="00CD4E7D">
      <w:pPr>
        <w:pStyle w:val="NoSpacing"/>
        <w:rPr>
          <w:rFonts w:ascii="Gill Sans MT" w:hAnsi="Gill Sans MT"/>
        </w:rPr>
      </w:pPr>
    </w:p>
    <w:p w:rsidR="00CD4E7D" w:rsidRPr="00EC2E36" w:rsidRDefault="00CD4E7D" w:rsidP="004A7BDC">
      <w:pPr>
        <w:pStyle w:val="NoSpacing"/>
        <w:jc w:val="center"/>
        <w:rPr>
          <w:rFonts w:ascii="Gill Sans MT" w:hAnsi="Gill Sans MT"/>
          <w:b/>
        </w:rPr>
      </w:pPr>
      <w:r w:rsidRPr="00EC2E36">
        <w:rPr>
          <w:rFonts w:ascii="Gill Sans MT" w:hAnsi="Gill Sans MT"/>
          <w:b/>
        </w:rPr>
        <w:t xml:space="preserve">1.  </w:t>
      </w:r>
      <w:r w:rsidR="004A7BDC" w:rsidRPr="00EC2E36">
        <w:rPr>
          <w:rFonts w:ascii="Gill Sans MT" w:hAnsi="Gill Sans MT"/>
          <w:b/>
        </w:rPr>
        <w:t>Attitudes to the SNP, to independence and to the EU</w:t>
      </w:r>
    </w:p>
    <w:p w:rsidR="00CD4E7D" w:rsidRDefault="00CD4E7D" w:rsidP="00CD4E7D">
      <w:pPr>
        <w:pStyle w:val="NoSpacing"/>
      </w:pPr>
    </w:p>
    <w:p w:rsidR="007943E8" w:rsidRDefault="007943E8" w:rsidP="00D73D27">
      <w:pPr>
        <w:pStyle w:val="NoSpacing"/>
      </w:pPr>
      <w:r>
        <w:t>The wave of support for independence probably reached its peak in 2016</w:t>
      </w:r>
      <w:r w:rsidR="00672912">
        <w:t xml:space="preserve"> – as shown by t</w:t>
      </w:r>
      <w:r>
        <w:t>hese figures from the Scottish Social Attitudes Survey:</w:t>
      </w:r>
    </w:p>
    <w:p w:rsidR="005D5D28" w:rsidRDefault="005D5D28" w:rsidP="00D73D27">
      <w:pPr>
        <w:pStyle w:val="NoSpacing"/>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730250</wp:posOffset>
                </wp:positionH>
                <wp:positionV relativeFrom="paragraph">
                  <wp:posOffset>20955</wp:posOffset>
                </wp:positionV>
                <wp:extent cx="4165600" cy="12001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41656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D28" w:rsidRPr="00335DDC" w:rsidRDefault="00335DDC" w:rsidP="00335DDC">
                            <w:pPr>
                              <w:pStyle w:val="NoSpacing"/>
                              <w:jc w:val="center"/>
                              <w:rPr>
                                <w:rFonts w:ascii="Gill Sans MT" w:hAnsi="Gill Sans MT"/>
                                <w:sz w:val="20"/>
                                <w:szCs w:val="20"/>
                              </w:rPr>
                            </w:pPr>
                            <w:r w:rsidRPr="00335DDC">
                              <w:rPr>
                                <w:rFonts w:ascii="Gill Sans MT" w:hAnsi="Gill Sans MT"/>
                                <w:sz w:val="20"/>
                                <w:szCs w:val="20"/>
                              </w:rPr>
                              <w:t xml:space="preserve">Table </w:t>
                            </w:r>
                            <w:proofErr w:type="gramStart"/>
                            <w:r w:rsidRPr="00335DDC">
                              <w:rPr>
                                <w:rFonts w:ascii="Gill Sans MT" w:hAnsi="Gill Sans MT"/>
                                <w:sz w:val="20"/>
                                <w:szCs w:val="20"/>
                              </w:rPr>
                              <w:t>1  Support</w:t>
                            </w:r>
                            <w:proofErr w:type="gramEnd"/>
                            <w:r w:rsidRPr="00335DDC">
                              <w:rPr>
                                <w:rFonts w:ascii="Gill Sans MT" w:hAnsi="Gill Sans MT"/>
                                <w:sz w:val="20"/>
                                <w:szCs w:val="20"/>
                              </w:rPr>
                              <w:t xml:space="preserve"> for Independence, Devolution and </w:t>
                            </w:r>
                            <w:r w:rsidR="00B454DC">
                              <w:rPr>
                                <w:rFonts w:ascii="Gill Sans MT" w:hAnsi="Gill Sans MT"/>
                                <w:sz w:val="20"/>
                                <w:szCs w:val="20"/>
                              </w:rPr>
                              <w:t>No Parliament</w:t>
                            </w:r>
                          </w:p>
                          <w:tbl>
                            <w:tblPr>
                              <w:tblStyle w:val="LightShading-Accent3"/>
                              <w:tblW w:w="0" w:type="auto"/>
                              <w:tblLook w:val="04A0" w:firstRow="1" w:lastRow="0" w:firstColumn="1" w:lastColumn="0" w:noHBand="0" w:noVBand="1"/>
                            </w:tblPr>
                            <w:tblGrid>
                              <w:gridCol w:w="1479"/>
                              <w:gridCol w:w="1722"/>
                              <w:gridCol w:w="1639"/>
                              <w:gridCol w:w="1637"/>
                            </w:tblGrid>
                            <w:tr w:rsidR="008E29A2" w:rsidTr="000F1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p>
                              </w:tc>
                              <w:tc>
                                <w:tcPr>
                                  <w:tcW w:w="1803" w:type="dxa"/>
                                </w:tcPr>
                                <w:p w:rsidR="005D5D28" w:rsidRDefault="005D5D28" w:rsidP="000F1178">
                                  <w:pPr>
                                    <w:pStyle w:val="NoSpacing"/>
                                    <w:cnfStyle w:val="100000000000" w:firstRow="1" w:lastRow="0" w:firstColumn="0" w:lastColumn="0" w:oddVBand="0" w:evenVBand="0" w:oddHBand="0" w:evenHBand="0" w:firstRowFirstColumn="0" w:firstRowLastColumn="0" w:lastRowFirstColumn="0" w:lastRowLastColumn="0"/>
                                  </w:pPr>
                                  <w:r>
                                    <w:t>Support Independence</w:t>
                                  </w:r>
                                </w:p>
                              </w:tc>
                              <w:tc>
                                <w:tcPr>
                                  <w:tcW w:w="1803" w:type="dxa"/>
                                </w:tcPr>
                                <w:p w:rsidR="005D5D28" w:rsidRDefault="005D5D28" w:rsidP="000F1178">
                                  <w:pPr>
                                    <w:pStyle w:val="NoSpacing"/>
                                    <w:cnfStyle w:val="100000000000" w:firstRow="1" w:lastRow="0" w:firstColumn="0" w:lastColumn="0" w:oddVBand="0" w:evenVBand="0" w:oddHBand="0" w:evenHBand="0" w:firstRowFirstColumn="0" w:firstRowLastColumn="0" w:lastRowFirstColumn="0" w:lastRowLastColumn="0"/>
                                  </w:pPr>
                                  <w:r>
                                    <w:t>Support Devolution</w:t>
                                  </w:r>
                                </w:p>
                              </w:tc>
                              <w:tc>
                                <w:tcPr>
                                  <w:tcW w:w="1803" w:type="dxa"/>
                                </w:tcPr>
                                <w:p w:rsidR="005D5D28" w:rsidRDefault="005D5D28" w:rsidP="00454131">
                                  <w:pPr>
                                    <w:pStyle w:val="NoSpacing"/>
                                    <w:cnfStyle w:val="100000000000" w:firstRow="1" w:lastRow="0" w:firstColumn="0" w:lastColumn="0" w:oddVBand="0" w:evenVBand="0" w:oddHBand="0" w:evenHBand="0" w:firstRowFirstColumn="0" w:firstRowLastColumn="0" w:lastRowFirstColumn="0" w:lastRowLastColumn="0"/>
                                  </w:pPr>
                                  <w:r>
                                    <w:t xml:space="preserve">No </w:t>
                                  </w:r>
                                  <w:r w:rsidR="00454131">
                                    <w:t>Parliament</w:t>
                                  </w:r>
                                </w:p>
                              </w:tc>
                            </w:tr>
                            <w:tr w:rsidR="008E29A2" w:rsidTr="000F1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r>
                                    <w:t>2014</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33</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50</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7</w:t>
                                  </w:r>
                                </w:p>
                              </w:tc>
                            </w:tr>
                            <w:tr w:rsidR="008E29A2" w:rsidTr="000F1178">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r>
                                    <w:t>2015</w:t>
                                  </w:r>
                                </w:p>
                              </w:tc>
                              <w:tc>
                                <w:tcPr>
                                  <w:tcW w:w="1803" w:type="dxa"/>
                                </w:tcPr>
                                <w:p w:rsidR="005D5D28" w:rsidRDefault="005D5D28" w:rsidP="000F1178">
                                  <w:pPr>
                                    <w:pStyle w:val="NoSpacing"/>
                                    <w:cnfStyle w:val="000000000000" w:firstRow="0" w:lastRow="0" w:firstColumn="0" w:lastColumn="0" w:oddVBand="0" w:evenVBand="0" w:oddHBand="0" w:evenHBand="0" w:firstRowFirstColumn="0" w:firstRowLastColumn="0" w:lastRowFirstColumn="0" w:lastRowLastColumn="0"/>
                                  </w:pPr>
                                  <w:r>
                                    <w:t>39</w:t>
                                  </w:r>
                                </w:p>
                              </w:tc>
                              <w:tc>
                                <w:tcPr>
                                  <w:tcW w:w="1803" w:type="dxa"/>
                                </w:tcPr>
                                <w:p w:rsidR="005D5D28" w:rsidRDefault="005D5D28" w:rsidP="000F1178">
                                  <w:pPr>
                                    <w:pStyle w:val="NoSpacing"/>
                                    <w:cnfStyle w:val="000000000000" w:firstRow="0" w:lastRow="0" w:firstColumn="0" w:lastColumn="0" w:oddVBand="0" w:evenVBand="0" w:oddHBand="0" w:evenHBand="0" w:firstRowFirstColumn="0" w:firstRowLastColumn="0" w:lastRowFirstColumn="0" w:lastRowLastColumn="0"/>
                                  </w:pPr>
                                  <w:r>
                                    <w:t>49</w:t>
                                  </w:r>
                                </w:p>
                              </w:tc>
                              <w:tc>
                                <w:tcPr>
                                  <w:tcW w:w="1803" w:type="dxa"/>
                                </w:tcPr>
                                <w:p w:rsidR="005D5D28" w:rsidRDefault="005D5D28" w:rsidP="000F1178">
                                  <w:pPr>
                                    <w:pStyle w:val="NoSpacing"/>
                                    <w:cnfStyle w:val="000000000000" w:firstRow="0" w:lastRow="0" w:firstColumn="0" w:lastColumn="0" w:oddVBand="0" w:evenVBand="0" w:oddHBand="0" w:evenHBand="0" w:firstRowFirstColumn="0" w:firstRowLastColumn="0" w:lastRowFirstColumn="0" w:lastRowLastColumn="0"/>
                                  </w:pPr>
                                  <w:r>
                                    <w:t>6</w:t>
                                  </w:r>
                                </w:p>
                              </w:tc>
                            </w:tr>
                            <w:tr w:rsidR="008E29A2" w:rsidTr="000F1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r>
                                    <w:t>2016</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46</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42</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8</w:t>
                                  </w:r>
                                </w:p>
                              </w:tc>
                            </w:tr>
                          </w:tbl>
                          <w:p w:rsidR="005D5D28" w:rsidRDefault="005D5D28" w:rsidP="005D5D28">
                            <w:pPr>
                              <w:pStyle w:val="NoSpacing"/>
                            </w:pPr>
                          </w:p>
                          <w:p w:rsidR="005D5D28" w:rsidRDefault="005D5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7.5pt;margin-top:1.65pt;width:328pt;height: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" fillcolor="white [3201]" stroked="f" strokeweight=".5pt">
                <v:textbox>
                  <w:txbxContent>
                    <w:p w:rsidR="005D5D28" w:rsidRPr="00335DDC" w:rsidRDefault="00335DDC" w:rsidP="00335DDC">
                      <w:pPr>
                        <w:pStyle w:val="NoSpacing"/>
                        <w:jc w:val="center"/>
                        <w:rPr>
                          <w:rFonts w:ascii="Gill Sans MT" w:hAnsi="Gill Sans MT"/>
                          <w:sz w:val="20"/>
                          <w:szCs w:val="20"/>
                        </w:rPr>
                      </w:pPr>
                      <w:r w:rsidRPr="00335DDC">
                        <w:rPr>
                          <w:rFonts w:ascii="Gill Sans MT" w:hAnsi="Gill Sans MT"/>
                          <w:sz w:val="20"/>
                          <w:szCs w:val="20"/>
                        </w:rPr>
                        <w:t xml:space="preserve">Table </w:t>
                      </w:r>
                      <w:proofErr w:type="gramStart"/>
                      <w:r w:rsidRPr="00335DDC">
                        <w:rPr>
                          <w:rFonts w:ascii="Gill Sans MT" w:hAnsi="Gill Sans MT"/>
                          <w:sz w:val="20"/>
                          <w:szCs w:val="20"/>
                        </w:rPr>
                        <w:t>1  Support</w:t>
                      </w:r>
                      <w:proofErr w:type="gramEnd"/>
                      <w:r w:rsidRPr="00335DDC">
                        <w:rPr>
                          <w:rFonts w:ascii="Gill Sans MT" w:hAnsi="Gill Sans MT"/>
                          <w:sz w:val="20"/>
                          <w:szCs w:val="20"/>
                        </w:rPr>
                        <w:t xml:space="preserve"> for Independence, Devolution and </w:t>
                      </w:r>
                      <w:r w:rsidR="00B454DC">
                        <w:rPr>
                          <w:rFonts w:ascii="Gill Sans MT" w:hAnsi="Gill Sans MT"/>
                          <w:sz w:val="20"/>
                          <w:szCs w:val="20"/>
                        </w:rPr>
                        <w:t>No Parliament</w:t>
                      </w:r>
                    </w:p>
                    <w:tbl>
                      <w:tblPr>
                        <w:tblStyle w:val="LightShading-Accent3"/>
                        <w:tblW w:w="0" w:type="auto"/>
                        <w:tblLook w:val="04A0" w:firstRow="1" w:lastRow="0" w:firstColumn="1" w:lastColumn="0" w:noHBand="0" w:noVBand="1"/>
                      </w:tblPr>
                      <w:tblGrid>
                        <w:gridCol w:w="1479"/>
                        <w:gridCol w:w="1722"/>
                        <w:gridCol w:w="1639"/>
                        <w:gridCol w:w="1637"/>
                      </w:tblGrid>
                      <w:tr w:rsidR="008E29A2" w:rsidTr="000F1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p>
                        </w:tc>
                        <w:tc>
                          <w:tcPr>
                            <w:tcW w:w="1803" w:type="dxa"/>
                          </w:tcPr>
                          <w:p w:rsidR="005D5D28" w:rsidRDefault="005D5D28" w:rsidP="000F1178">
                            <w:pPr>
                              <w:pStyle w:val="NoSpacing"/>
                              <w:cnfStyle w:val="100000000000" w:firstRow="1" w:lastRow="0" w:firstColumn="0" w:lastColumn="0" w:oddVBand="0" w:evenVBand="0" w:oddHBand="0" w:evenHBand="0" w:firstRowFirstColumn="0" w:firstRowLastColumn="0" w:lastRowFirstColumn="0" w:lastRowLastColumn="0"/>
                            </w:pPr>
                            <w:r>
                              <w:t>Support Independence</w:t>
                            </w:r>
                          </w:p>
                        </w:tc>
                        <w:tc>
                          <w:tcPr>
                            <w:tcW w:w="1803" w:type="dxa"/>
                          </w:tcPr>
                          <w:p w:rsidR="005D5D28" w:rsidRDefault="005D5D28" w:rsidP="000F1178">
                            <w:pPr>
                              <w:pStyle w:val="NoSpacing"/>
                              <w:cnfStyle w:val="100000000000" w:firstRow="1" w:lastRow="0" w:firstColumn="0" w:lastColumn="0" w:oddVBand="0" w:evenVBand="0" w:oddHBand="0" w:evenHBand="0" w:firstRowFirstColumn="0" w:firstRowLastColumn="0" w:lastRowFirstColumn="0" w:lastRowLastColumn="0"/>
                            </w:pPr>
                            <w:r>
                              <w:t>Support Devolution</w:t>
                            </w:r>
                          </w:p>
                        </w:tc>
                        <w:tc>
                          <w:tcPr>
                            <w:tcW w:w="1803" w:type="dxa"/>
                          </w:tcPr>
                          <w:p w:rsidR="005D5D28" w:rsidRDefault="005D5D28" w:rsidP="00454131">
                            <w:pPr>
                              <w:pStyle w:val="NoSpacing"/>
                              <w:cnfStyle w:val="100000000000" w:firstRow="1" w:lastRow="0" w:firstColumn="0" w:lastColumn="0" w:oddVBand="0" w:evenVBand="0" w:oddHBand="0" w:evenHBand="0" w:firstRowFirstColumn="0" w:firstRowLastColumn="0" w:lastRowFirstColumn="0" w:lastRowLastColumn="0"/>
                            </w:pPr>
                            <w:r>
                              <w:t xml:space="preserve">No </w:t>
                            </w:r>
                            <w:r w:rsidR="00454131">
                              <w:t>Parliament</w:t>
                            </w:r>
                          </w:p>
                        </w:tc>
                      </w:tr>
                      <w:tr w:rsidR="008E29A2" w:rsidTr="000F1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r>
                              <w:t>2014</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33</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50</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7</w:t>
                            </w:r>
                          </w:p>
                        </w:tc>
                      </w:tr>
                      <w:tr w:rsidR="008E29A2" w:rsidTr="000F1178">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r>
                              <w:t>2015</w:t>
                            </w:r>
                          </w:p>
                        </w:tc>
                        <w:tc>
                          <w:tcPr>
                            <w:tcW w:w="1803" w:type="dxa"/>
                          </w:tcPr>
                          <w:p w:rsidR="005D5D28" w:rsidRDefault="005D5D28" w:rsidP="000F1178">
                            <w:pPr>
                              <w:pStyle w:val="NoSpacing"/>
                              <w:cnfStyle w:val="000000000000" w:firstRow="0" w:lastRow="0" w:firstColumn="0" w:lastColumn="0" w:oddVBand="0" w:evenVBand="0" w:oddHBand="0" w:evenHBand="0" w:firstRowFirstColumn="0" w:firstRowLastColumn="0" w:lastRowFirstColumn="0" w:lastRowLastColumn="0"/>
                            </w:pPr>
                            <w:r>
                              <w:t>39</w:t>
                            </w:r>
                          </w:p>
                        </w:tc>
                        <w:tc>
                          <w:tcPr>
                            <w:tcW w:w="1803" w:type="dxa"/>
                          </w:tcPr>
                          <w:p w:rsidR="005D5D28" w:rsidRDefault="005D5D28" w:rsidP="000F1178">
                            <w:pPr>
                              <w:pStyle w:val="NoSpacing"/>
                              <w:cnfStyle w:val="000000000000" w:firstRow="0" w:lastRow="0" w:firstColumn="0" w:lastColumn="0" w:oddVBand="0" w:evenVBand="0" w:oddHBand="0" w:evenHBand="0" w:firstRowFirstColumn="0" w:firstRowLastColumn="0" w:lastRowFirstColumn="0" w:lastRowLastColumn="0"/>
                            </w:pPr>
                            <w:r>
                              <w:t>49</w:t>
                            </w:r>
                          </w:p>
                        </w:tc>
                        <w:tc>
                          <w:tcPr>
                            <w:tcW w:w="1803" w:type="dxa"/>
                          </w:tcPr>
                          <w:p w:rsidR="005D5D28" w:rsidRDefault="005D5D28" w:rsidP="000F1178">
                            <w:pPr>
                              <w:pStyle w:val="NoSpacing"/>
                              <w:cnfStyle w:val="000000000000" w:firstRow="0" w:lastRow="0" w:firstColumn="0" w:lastColumn="0" w:oddVBand="0" w:evenVBand="0" w:oddHBand="0" w:evenHBand="0" w:firstRowFirstColumn="0" w:firstRowLastColumn="0" w:lastRowFirstColumn="0" w:lastRowLastColumn="0"/>
                            </w:pPr>
                            <w:r>
                              <w:t>6</w:t>
                            </w:r>
                          </w:p>
                        </w:tc>
                      </w:tr>
                      <w:tr w:rsidR="008E29A2" w:rsidTr="000F1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5D5D28" w:rsidRDefault="005D5D28" w:rsidP="000F1178">
                            <w:pPr>
                              <w:pStyle w:val="NoSpacing"/>
                            </w:pPr>
                            <w:r>
                              <w:t>2016</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46</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42</w:t>
                            </w:r>
                          </w:p>
                        </w:tc>
                        <w:tc>
                          <w:tcPr>
                            <w:tcW w:w="1803" w:type="dxa"/>
                          </w:tcPr>
                          <w:p w:rsidR="005D5D28" w:rsidRDefault="005D5D28" w:rsidP="000F1178">
                            <w:pPr>
                              <w:pStyle w:val="NoSpacing"/>
                              <w:cnfStyle w:val="000000100000" w:firstRow="0" w:lastRow="0" w:firstColumn="0" w:lastColumn="0" w:oddVBand="0" w:evenVBand="0" w:oddHBand="1" w:evenHBand="0" w:firstRowFirstColumn="0" w:firstRowLastColumn="0" w:lastRowFirstColumn="0" w:lastRowLastColumn="0"/>
                            </w:pPr>
                            <w:r>
                              <w:t>8</w:t>
                            </w:r>
                          </w:p>
                        </w:tc>
                      </w:tr>
                    </w:tbl>
                    <w:p w:rsidR="005D5D28" w:rsidRDefault="005D5D28" w:rsidP="005D5D28">
                      <w:pPr>
                        <w:pStyle w:val="NoSpacing"/>
                      </w:pPr>
                    </w:p>
                    <w:p w:rsidR="005D5D28" w:rsidRDefault="005D5D28"/>
                  </w:txbxContent>
                </v:textbox>
              </v:shape>
            </w:pict>
          </mc:Fallback>
        </mc:AlternateContent>
      </w:r>
    </w:p>
    <w:p w:rsidR="005D5D28" w:rsidRDefault="005D5D28" w:rsidP="00D73D27">
      <w:pPr>
        <w:pStyle w:val="NoSpacing"/>
      </w:pPr>
    </w:p>
    <w:p w:rsidR="005D5D28" w:rsidRDefault="005D5D28" w:rsidP="00D73D27">
      <w:pPr>
        <w:pStyle w:val="NoSpacing"/>
      </w:pPr>
    </w:p>
    <w:p w:rsidR="005D5D28" w:rsidRDefault="005D5D28" w:rsidP="00D73D27">
      <w:pPr>
        <w:pStyle w:val="NoSpacing"/>
      </w:pPr>
    </w:p>
    <w:p w:rsidR="005D5D28" w:rsidRDefault="005D5D28" w:rsidP="00D73D27">
      <w:pPr>
        <w:pStyle w:val="NoSpacing"/>
      </w:pPr>
    </w:p>
    <w:p w:rsidR="005D5D28" w:rsidRDefault="005D5D28" w:rsidP="00D73D27">
      <w:pPr>
        <w:pStyle w:val="NoSpacing"/>
      </w:pPr>
    </w:p>
    <w:p w:rsidR="00335DDC" w:rsidRDefault="00335DDC" w:rsidP="00CD4E7D">
      <w:pPr>
        <w:pStyle w:val="NoSpacing"/>
      </w:pPr>
    </w:p>
    <w:p w:rsidR="00DD76A2" w:rsidRDefault="007943E8" w:rsidP="00CD4E7D">
      <w:pPr>
        <w:pStyle w:val="NoSpacing"/>
      </w:pPr>
      <w:r>
        <w:t>However, according to the same survey,</w:t>
      </w:r>
      <w:r w:rsidR="00827416">
        <w:t xml:space="preserve"> Scottish</w:t>
      </w:r>
      <w:r>
        <w:t xml:space="preserve"> </w:t>
      </w:r>
      <w:r w:rsidR="00C52AFE">
        <w:t>scepticism towards the EU also increased over the same period.</w:t>
      </w:r>
      <w:r w:rsidR="009565CF">
        <w:t xml:space="preserve">  In 1999 only 40 per cent wanted either to leave the EU or reduce its powers.  By 2005 </w:t>
      </w:r>
      <w:r w:rsidR="00672912">
        <w:t>the proportion</w:t>
      </w:r>
      <w:r w:rsidR="009565CF">
        <w:t xml:space="preserve"> had reached 53 per cent and by 2016 it had reached </w:t>
      </w:r>
      <w:r w:rsidR="003F0F20">
        <w:t>67 per cent.  Particularly notable is the position of those who support Scottish independence. B</w:t>
      </w:r>
      <w:r w:rsidR="00672912">
        <w:t xml:space="preserve">etween a quarter and fifth </w:t>
      </w:r>
      <w:r w:rsidR="003F0F20">
        <w:t>also t</w:t>
      </w:r>
      <w:r w:rsidR="00B454DC">
        <w:t>ook</w:t>
      </w:r>
      <w:r w:rsidR="003F0F20">
        <w:t xml:space="preserve"> </w:t>
      </w:r>
      <w:r w:rsidR="00672912">
        <w:t>a Leave position – more in fact than non-independence supporters</w:t>
      </w:r>
      <w:r w:rsidR="00827416">
        <w:t xml:space="preserve"> up to 2015</w:t>
      </w:r>
      <w:r w:rsidR="00B454DC">
        <w:t>.</w:t>
      </w:r>
      <w:r w:rsidR="00DD76A2">
        <w:rPr>
          <w:rStyle w:val="EndnoteReference"/>
        </w:rPr>
        <w:endnoteReference w:id="1"/>
      </w:r>
    </w:p>
    <w:p w:rsidR="00DD76A2" w:rsidRDefault="00DD76A2" w:rsidP="00CD4E7D">
      <w:pPr>
        <w:pStyle w:val="NoSpacing"/>
      </w:pPr>
    </w:p>
    <w:p w:rsidR="00DD76A2" w:rsidRDefault="00DD76A2" w:rsidP="00335DDC">
      <w:pPr>
        <w:pStyle w:val="NoSpacing"/>
        <w:jc w:val="center"/>
      </w:pPr>
      <w:r>
        <w:t xml:space="preserve">Table </w:t>
      </w:r>
      <w:proofErr w:type="gramStart"/>
      <w:r>
        <w:t>2  The</w:t>
      </w:r>
      <w:proofErr w:type="gramEnd"/>
      <w:r>
        <w:t xml:space="preserve"> growth of Euro-scepticism in Scotland</w:t>
      </w:r>
    </w:p>
    <w:tbl>
      <w:tblPr>
        <w:tblStyle w:val="LightShading-Accent3"/>
        <w:tblW w:w="0" w:type="auto"/>
        <w:tblLook w:val="04A0" w:firstRow="1" w:lastRow="0" w:firstColumn="1" w:lastColumn="0" w:noHBand="0" w:noVBand="1"/>
      </w:tblPr>
      <w:tblGrid>
        <w:gridCol w:w="1288"/>
        <w:gridCol w:w="1288"/>
        <w:gridCol w:w="1288"/>
        <w:gridCol w:w="1288"/>
        <w:gridCol w:w="1288"/>
        <w:gridCol w:w="1288"/>
        <w:gridCol w:w="1288"/>
      </w:tblGrid>
      <w:tr w:rsidR="00DD76A2" w:rsidTr="00F12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DD76A2" w:rsidRDefault="00DD76A2" w:rsidP="00CD4E7D">
            <w:pPr>
              <w:pStyle w:val="NoSpacing"/>
            </w:pPr>
          </w:p>
        </w:tc>
        <w:tc>
          <w:tcPr>
            <w:tcW w:w="1288" w:type="dxa"/>
          </w:tcPr>
          <w:p w:rsidR="00DD76A2" w:rsidRDefault="00DD76A2" w:rsidP="00CD4E7D">
            <w:pPr>
              <w:pStyle w:val="NoSpacing"/>
              <w:cnfStyle w:val="100000000000" w:firstRow="1" w:lastRow="0" w:firstColumn="0" w:lastColumn="0" w:oddVBand="0" w:evenVBand="0" w:oddHBand="0" w:evenHBand="0" w:firstRowFirstColumn="0" w:firstRowLastColumn="0" w:lastRowFirstColumn="0" w:lastRowLastColumn="0"/>
            </w:pPr>
            <w:r>
              <w:t>2013</w:t>
            </w:r>
          </w:p>
        </w:tc>
        <w:tc>
          <w:tcPr>
            <w:tcW w:w="1288" w:type="dxa"/>
          </w:tcPr>
          <w:p w:rsidR="00DD76A2" w:rsidRDefault="00DD76A2" w:rsidP="00CD4E7D">
            <w:pPr>
              <w:pStyle w:val="NoSpacing"/>
              <w:cnfStyle w:val="100000000000" w:firstRow="1" w:lastRow="0" w:firstColumn="0" w:lastColumn="0" w:oddVBand="0" w:evenVBand="0" w:oddHBand="0" w:evenHBand="0" w:firstRowFirstColumn="0" w:firstRowLastColumn="0" w:lastRowFirstColumn="0" w:lastRowLastColumn="0"/>
            </w:pPr>
            <w:r>
              <w:t>2013</w:t>
            </w:r>
          </w:p>
        </w:tc>
        <w:tc>
          <w:tcPr>
            <w:tcW w:w="1288" w:type="dxa"/>
          </w:tcPr>
          <w:p w:rsidR="00DD76A2" w:rsidRDefault="00DD76A2" w:rsidP="00CD4E7D">
            <w:pPr>
              <w:pStyle w:val="NoSpacing"/>
              <w:cnfStyle w:val="100000000000" w:firstRow="1" w:lastRow="0" w:firstColumn="0" w:lastColumn="0" w:oddVBand="0" w:evenVBand="0" w:oddHBand="0" w:evenHBand="0" w:firstRowFirstColumn="0" w:firstRowLastColumn="0" w:lastRowFirstColumn="0" w:lastRowLastColumn="0"/>
            </w:pPr>
            <w:r>
              <w:t>2015</w:t>
            </w:r>
          </w:p>
        </w:tc>
        <w:tc>
          <w:tcPr>
            <w:tcW w:w="1288" w:type="dxa"/>
          </w:tcPr>
          <w:p w:rsidR="00DD76A2" w:rsidRDefault="00DD76A2" w:rsidP="00CD4E7D">
            <w:pPr>
              <w:pStyle w:val="NoSpacing"/>
              <w:cnfStyle w:val="100000000000" w:firstRow="1" w:lastRow="0" w:firstColumn="0" w:lastColumn="0" w:oddVBand="0" w:evenVBand="0" w:oddHBand="0" w:evenHBand="0" w:firstRowFirstColumn="0" w:firstRowLastColumn="0" w:lastRowFirstColumn="0" w:lastRowLastColumn="0"/>
            </w:pPr>
            <w:r>
              <w:t>2015</w:t>
            </w:r>
          </w:p>
        </w:tc>
        <w:tc>
          <w:tcPr>
            <w:tcW w:w="1288" w:type="dxa"/>
          </w:tcPr>
          <w:p w:rsidR="00DD76A2" w:rsidRDefault="00DD76A2" w:rsidP="00CD4E7D">
            <w:pPr>
              <w:pStyle w:val="NoSpacing"/>
              <w:cnfStyle w:val="100000000000" w:firstRow="1" w:lastRow="0" w:firstColumn="0" w:lastColumn="0" w:oddVBand="0" w:evenVBand="0" w:oddHBand="0" w:evenHBand="0" w:firstRowFirstColumn="0" w:firstRowLastColumn="0" w:lastRowFirstColumn="0" w:lastRowLastColumn="0"/>
            </w:pPr>
            <w:r>
              <w:t>2016</w:t>
            </w:r>
          </w:p>
        </w:tc>
        <w:tc>
          <w:tcPr>
            <w:tcW w:w="1288" w:type="dxa"/>
          </w:tcPr>
          <w:p w:rsidR="00DD76A2" w:rsidRDefault="00DD76A2" w:rsidP="00CD4E7D">
            <w:pPr>
              <w:pStyle w:val="NoSpacing"/>
              <w:cnfStyle w:val="100000000000" w:firstRow="1" w:lastRow="0" w:firstColumn="0" w:lastColumn="0" w:oddVBand="0" w:evenVBand="0" w:oddHBand="0" w:evenHBand="0" w:firstRowFirstColumn="0" w:firstRowLastColumn="0" w:lastRowFirstColumn="0" w:lastRowLastColumn="0"/>
            </w:pPr>
            <w:r>
              <w:t>2016</w:t>
            </w:r>
          </w:p>
        </w:tc>
      </w:tr>
      <w:tr w:rsidR="00DD76A2" w:rsidTr="00F12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DD76A2" w:rsidRDefault="00DD76A2" w:rsidP="00CD4E7D">
            <w:pPr>
              <w:pStyle w:val="NoSpacing"/>
            </w:pPr>
            <w:r>
              <w:t xml:space="preserve"> </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Pro-</w:t>
            </w:r>
            <w:proofErr w:type="spellStart"/>
            <w:r>
              <w:t>Ind</w:t>
            </w:r>
            <w:proofErr w:type="spellEnd"/>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Pro-Union</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Pro-</w:t>
            </w:r>
            <w:proofErr w:type="spellStart"/>
            <w:r>
              <w:t>ind</w:t>
            </w:r>
            <w:proofErr w:type="spellEnd"/>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Pro-Union</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Pro-</w:t>
            </w:r>
            <w:proofErr w:type="spellStart"/>
            <w:r>
              <w:t>Ind</w:t>
            </w:r>
            <w:proofErr w:type="spellEnd"/>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Pro-Union</w:t>
            </w:r>
          </w:p>
        </w:tc>
      </w:tr>
      <w:tr w:rsidR="00DD76A2" w:rsidTr="00F12B1F">
        <w:tc>
          <w:tcPr>
            <w:cnfStyle w:val="001000000000" w:firstRow="0" w:lastRow="0" w:firstColumn="1" w:lastColumn="0" w:oddVBand="0" w:evenVBand="0" w:oddHBand="0" w:evenHBand="0" w:firstRowFirstColumn="0" w:firstRowLastColumn="0" w:lastRowFirstColumn="0" w:lastRowLastColumn="0"/>
            <w:tcW w:w="1288" w:type="dxa"/>
          </w:tcPr>
          <w:p w:rsidR="00DD76A2" w:rsidRPr="00335DDC" w:rsidRDefault="00DD76A2" w:rsidP="00CD4E7D">
            <w:pPr>
              <w:pStyle w:val="NoSpacing"/>
              <w:rPr>
                <w:rFonts w:ascii="Gill Sans MT" w:hAnsi="Gill Sans MT"/>
                <w:sz w:val="18"/>
                <w:szCs w:val="18"/>
              </w:rPr>
            </w:pPr>
            <w:r w:rsidRPr="00335DDC">
              <w:rPr>
                <w:rFonts w:ascii="Gill Sans MT" w:hAnsi="Gill Sans MT"/>
                <w:sz w:val="18"/>
                <w:szCs w:val="18"/>
              </w:rPr>
              <w:t>Leave EU</w:t>
            </w:r>
          </w:p>
        </w:tc>
        <w:tc>
          <w:tcPr>
            <w:tcW w:w="1288" w:type="dxa"/>
          </w:tcPr>
          <w:p w:rsidR="00DD76A2" w:rsidRDefault="00DD76A2" w:rsidP="00CD4E7D">
            <w:pPr>
              <w:pStyle w:val="NoSpacing"/>
              <w:cnfStyle w:val="000000000000" w:firstRow="0" w:lastRow="0" w:firstColumn="0" w:lastColumn="0" w:oddVBand="0" w:evenVBand="0" w:oddHBand="0" w:evenHBand="0" w:firstRowFirstColumn="0" w:firstRowLastColumn="0" w:lastRowFirstColumn="0" w:lastRowLastColumn="0"/>
            </w:pPr>
            <w:r>
              <w:t>24</w:t>
            </w:r>
          </w:p>
        </w:tc>
        <w:tc>
          <w:tcPr>
            <w:tcW w:w="1288" w:type="dxa"/>
          </w:tcPr>
          <w:p w:rsidR="00DD76A2" w:rsidRDefault="00DD76A2" w:rsidP="00CD4E7D">
            <w:pPr>
              <w:pStyle w:val="NoSpacing"/>
              <w:cnfStyle w:val="000000000000" w:firstRow="0" w:lastRow="0" w:firstColumn="0" w:lastColumn="0" w:oddVBand="0" w:evenVBand="0" w:oddHBand="0" w:evenHBand="0" w:firstRowFirstColumn="0" w:firstRowLastColumn="0" w:lastRowFirstColumn="0" w:lastRowLastColumn="0"/>
            </w:pPr>
            <w:r>
              <w:t>17</w:t>
            </w:r>
          </w:p>
        </w:tc>
        <w:tc>
          <w:tcPr>
            <w:tcW w:w="1288" w:type="dxa"/>
          </w:tcPr>
          <w:p w:rsidR="00DD76A2" w:rsidRDefault="00DD76A2" w:rsidP="00CD4E7D">
            <w:pPr>
              <w:pStyle w:val="NoSpacing"/>
              <w:cnfStyle w:val="000000000000" w:firstRow="0" w:lastRow="0" w:firstColumn="0" w:lastColumn="0" w:oddVBand="0" w:evenVBand="0" w:oddHBand="0" w:evenHBand="0" w:firstRowFirstColumn="0" w:firstRowLastColumn="0" w:lastRowFirstColumn="0" w:lastRowLastColumn="0"/>
            </w:pPr>
            <w:r>
              <w:t>25</w:t>
            </w:r>
          </w:p>
        </w:tc>
        <w:tc>
          <w:tcPr>
            <w:tcW w:w="1288" w:type="dxa"/>
          </w:tcPr>
          <w:p w:rsidR="00DD76A2" w:rsidRDefault="00DD76A2" w:rsidP="00CD4E7D">
            <w:pPr>
              <w:pStyle w:val="NoSpacing"/>
              <w:cnfStyle w:val="000000000000" w:firstRow="0" w:lastRow="0" w:firstColumn="0" w:lastColumn="0" w:oddVBand="0" w:evenVBand="0" w:oddHBand="0" w:evenHBand="0" w:firstRowFirstColumn="0" w:firstRowLastColumn="0" w:lastRowFirstColumn="0" w:lastRowLastColumn="0"/>
            </w:pPr>
            <w:r>
              <w:t>13</w:t>
            </w:r>
          </w:p>
        </w:tc>
        <w:tc>
          <w:tcPr>
            <w:tcW w:w="1288" w:type="dxa"/>
          </w:tcPr>
          <w:p w:rsidR="00DD76A2" w:rsidRDefault="00DD76A2" w:rsidP="00CD4E7D">
            <w:pPr>
              <w:pStyle w:val="NoSpacing"/>
              <w:cnfStyle w:val="000000000000" w:firstRow="0" w:lastRow="0" w:firstColumn="0" w:lastColumn="0" w:oddVBand="0" w:evenVBand="0" w:oddHBand="0" w:evenHBand="0" w:firstRowFirstColumn="0" w:firstRowLastColumn="0" w:lastRowFirstColumn="0" w:lastRowLastColumn="0"/>
            </w:pPr>
            <w:r>
              <w:t>21</w:t>
            </w:r>
          </w:p>
        </w:tc>
        <w:tc>
          <w:tcPr>
            <w:tcW w:w="1288" w:type="dxa"/>
          </w:tcPr>
          <w:p w:rsidR="00DD76A2" w:rsidRDefault="00DD76A2" w:rsidP="00CD4E7D">
            <w:pPr>
              <w:pStyle w:val="NoSpacing"/>
              <w:cnfStyle w:val="000000000000" w:firstRow="0" w:lastRow="0" w:firstColumn="0" w:lastColumn="0" w:oddVBand="0" w:evenVBand="0" w:oddHBand="0" w:evenHBand="0" w:firstRowFirstColumn="0" w:firstRowLastColumn="0" w:lastRowFirstColumn="0" w:lastRowLastColumn="0"/>
            </w:pPr>
            <w:r>
              <w:t>29</w:t>
            </w:r>
          </w:p>
        </w:tc>
      </w:tr>
      <w:tr w:rsidR="00DD76A2" w:rsidTr="00F12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DD76A2" w:rsidRPr="00335DDC" w:rsidRDefault="00DD76A2" w:rsidP="00CD4E7D">
            <w:pPr>
              <w:pStyle w:val="NoSpacing"/>
              <w:rPr>
                <w:rFonts w:ascii="Gill Sans MT" w:hAnsi="Gill Sans MT"/>
                <w:sz w:val="18"/>
                <w:szCs w:val="18"/>
              </w:rPr>
            </w:pPr>
            <w:r w:rsidRPr="00335DDC">
              <w:rPr>
                <w:rFonts w:ascii="Gill Sans MT" w:hAnsi="Gill Sans MT"/>
                <w:sz w:val="18"/>
                <w:szCs w:val="18"/>
              </w:rPr>
              <w:t>Stay but reduce</w:t>
            </w:r>
            <w:r>
              <w:rPr>
                <w:rFonts w:ascii="Gill Sans MT" w:hAnsi="Gill Sans MT"/>
                <w:sz w:val="18"/>
                <w:szCs w:val="18"/>
              </w:rPr>
              <w:t xml:space="preserve"> EU</w:t>
            </w:r>
            <w:r w:rsidRPr="00335DDC">
              <w:rPr>
                <w:rFonts w:ascii="Gill Sans MT" w:hAnsi="Gill Sans MT"/>
                <w:sz w:val="18"/>
                <w:szCs w:val="18"/>
              </w:rPr>
              <w:t xml:space="preserve"> powers</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33</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45</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36</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47</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41</w:t>
            </w:r>
          </w:p>
        </w:tc>
        <w:tc>
          <w:tcPr>
            <w:tcW w:w="1288" w:type="dxa"/>
          </w:tcPr>
          <w:p w:rsidR="00DD76A2" w:rsidRDefault="00DD76A2" w:rsidP="00CD4E7D">
            <w:pPr>
              <w:pStyle w:val="NoSpacing"/>
              <w:cnfStyle w:val="000000100000" w:firstRow="0" w:lastRow="0" w:firstColumn="0" w:lastColumn="0" w:oddVBand="0" w:evenVBand="0" w:oddHBand="1" w:evenHBand="0" w:firstRowFirstColumn="0" w:firstRowLastColumn="0" w:lastRowFirstColumn="0" w:lastRowLastColumn="0"/>
            </w:pPr>
            <w:r>
              <w:t>44</w:t>
            </w:r>
          </w:p>
        </w:tc>
      </w:tr>
    </w:tbl>
    <w:p w:rsidR="00DD76A2" w:rsidRDefault="00DD76A2" w:rsidP="00CD4E7D">
      <w:pPr>
        <w:pStyle w:val="NoSpacing"/>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lastRenderedPageBreak/>
        <w:t>It would seem that</w:t>
      </w:r>
      <w:r w:rsidR="00B454DC">
        <w:rPr>
          <w:rFonts w:ascii="Gill Sans MT" w:eastAsia="Calibri" w:hAnsi="Gill Sans MT" w:cs="Times New Roman"/>
        </w:rPr>
        <w:t xml:space="preserve"> the </w:t>
      </w:r>
      <w:r w:rsidRPr="009A7209">
        <w:rPr>
          <w:rFonts w:ascii="Gill Sans MT" w:eastAsia="Calibri" w:hAnsi="Gill Sans MT" w:cs="Times New Roman"/>
          <w:i/>
        </w:rPr>
        <w:t>increased</w:t>
      </w:r>
      <w:r>
        <w:rPr>
          <w:rFonts w:ascii="Gill Sans MT" w:eastAsia="Calibri" w:hAnsi="Gill Sans MT" w:cs="Times New Roman"/>
        </w:rPr>
        <w:t xml:space="preserve"> support for independence and the growing scepticism about the EU reflected the same thing</w:t>
      </w:r>
      <w:r w:rsidR="00B454DC">
        <w:rPr>
          <w:rFonts w:ascii="Gill Sans MT" w:eastAsia="Calibri" w:hAnsi="Gill Sans MT" w:cs="Times New Roman"/>
        </w:rPr>
        <w:t xml:space="preserve">: an expression of populist anger </w:t>
      </w:r>
      <w:r>
        <w:rPr>
          <w:rFonts w:ascii="Gill Sans MT" w:eastAsia="Calibri" w:hAnsi="Gill Sans MT" w:cs="Times New Roman"/>
        </w:rPr>
        <w:t>at austerity</w:t>
      </w:r>
      <w:r w:rsidR="00B454DC">
        <w:rPr>
          <w:rFonts w:ascii="Gill Sans MT" w:eastAsia="Calibri" w:hAnsi="Gill Sans MT" w:cs="Times New Roman"/>
        </w:rPr>
        <w:t>, remote government</w:t>
      </w:r>
      <w:r>
        <w:rPr>
          <w:rFonts w:ascii="Gill Sans MT" w:eastAsia="Calibri" w:hAnsi="Gill Sans MT" w:cs="Times New Roman"/>
        </w:rPr>
        <w:t xml:space="preserve"> and </w:t>
      </w:r>
      <w:r w:rsidR="00B454DC">
        <w:rPr>
          <w:rFonts w:ascii="Gill Sans MT" w:eastAsia="Calibri" w:hAnsi="Gill Sans MT" w:cs="Times New Roman"/>
        </w:rPr>
        <w:t>the</w:t>
      </w:r>
      <w:r>
        <w:rPr>
          <w:rFonts w:ascii="Gill Sans MT" w:eastAsia="Calibri" w:hAnsi="Gill Sans MT" w:cs="Times New Roman"/>
        </w:rPr>
        <w:t xml:space="preserve"> consequences for Scotland’s working class communities.  According to the House of Commons research paper on the 2014 Independence referendum, there was</w:t>
      </w:r>
      <w:r w:rsidR="00B454DC">
        <w:rPr>
          <w:rFonts w:ascii="Gill Sans MT" w:eastAsia="Calibri" w:hAnsi="Gill Sans MT" w:cs="Times New Roman"/>
        </w:rPr>
        <w:t>, for the first time,</w:t>
      </w:r>
      <w:r>
        <w:rPr>
          <w:rFonts w:ascii="Gill Sans MT" w:eastAsia="Calibri" w:hAnsi="Gill Sans MT" w:cs="Times New Roman"/>
        </w:rPr>
        <w:t xml:space="preserve"> a strong correlation between the size of the Yes vote and indices of deprivation: the poorest communities opted most strongly for independence.</w:t>
      </w:r>
      <w:r>
        <w:rPr>
          <w:rStyle w:val="EndnoteReference"/>
          <w:rFonts w:ascii="Gill Sans MT" w:eastAsia="Calibri" w:hAnsi="Gill Sans MT" w:cs="Times New Roman"/>
        </w:rPr>
        <w:endnoteReference w:id="2"/>
      </w:r>
      <w:r>
        <w:rPr>
          <w:rFonts w:ascii="Gill Sans MT" w:eastAsia="Calibri" w:hAnsi="Gill Sans MT" w:cs="Times New Roman"/>
        </w:rPr>
        <w:t xml:space="preserve">  Opinion surveys show the same in the run-up to the referendum: i</w:t>
      </w:r>
      <w:r w:rsidRPr="00BC15C9">
        <w:rPr>
          <w:rFonts w:ascii="Gill Sans MT" w:eastAsia="Calibri" w:hAnsi="Gill Sans MT" w:cs="Times New Roman"/>
        </w:rPr>
        <w:t>ssues of economic disadvantage became increasingly important for those wanting independence</w:t>
      </w:r>
      <w:r>
        <w:rPr>
          <w:rFonts w:ascii="Gill Sans MT" w:eastAsia="Calibri" w:hAnsi="Gill Sans MT" w:cs="Times New Roman"/>
        </w:rPr>
        <w:t>.</w:t>
      </w:r>
      <w:r w:rsidRPr="00BC15C9">
        <w:rPr>
          <w:rFonts w:ascii="Gill Sans MT" w:eastAsia="Calibri" w:hAnsi="Gill Sans MT" w:cs="Times New Roman"/>
        </w:rPr>
        <w:t xml:space="preserve"> The number of independence supporters believing that the English secured more benefit from existing arrangements than Scots went up from 27 per cent in 2011 to 33 per cent in 2014</w:t>
      </w:r>
      <w:r>
        <w:rPr>
          <w:rFonts w:ascii="Gill Sans MT" w:eastAsia="Calibri" w:hAnsi="Gill Sans MT" w:cs="Times New Roman"/>
        </w:rPr>
        <w:t>.  T</w:t>
      </w:r>
      <w:r w:rsidRPr="00BC15C9">
        <w:rPr>
          <w:rFonts w:ascii="Gill Sans MT" w:eastAsia="Calibri" w:hAnsi="Gill Sans MT" w:cs="Times New Roman"/>
        </w:rPr>
        <w:t>he belief that the English got a disproportionate share of government spending inc</w:t>
      </w:r>
      <w:r>
        <w:rPr>
          <w:rFonts w:ascii="Gill Sans MT" w:eastAsia="Calibri" w:hAnsi="Gill Sans MT" w:cs="Times New Roman"/>
        </w:rPr>
        <w:t>reased from 36 to 43 per cent</w:t>
      </w:r>
      <w:r w:rsidRPr="00BC15C9">
        <w:rPr>
          <w:rFonts w:ascii="Gill Sans MT" w:eastAsia="Calibri" w:hAnsi="Gill Sans MT" w:cs="Times New Roman"/>
        </w:rPr>
        <w:t>.</w:t>
      </w:r>
      <w:r w:rsidRPr="00BC15C9">
        <w:rPr>
          <w:rFonts w:ascii="Gill Sans MT" w:eastAsia="Calibri" w:hAnsi="Gill Sans MT" w:cs="Times New Roman"/>
          <w:vertAlign w:val="superscript"/>
        </w:rPr>
        <w:endnoteReference w:id="3"/>
      </w:r>
      <w:r>
        <w:rPr>
          <w:rFonts w:ascii="Gill Sans MT" w:eastAsia="Calibri" w:hAnsi="Gill Sans MT" w:cs="Times New Roman"/>
        </w:rPr>
        <w:t xml:space="preserve">   This momentum continued into the 2015 general election in which the SNP won 50 per cent of the vote, Labour lost all its Scottish seats bar one and the SNP even managed to capture all but a fifth of the ‘Left’ spectrum of Scottish voters.</w:t>
      </w:r>
      <w:r>
        <w:rPr>
          <w:rStyle w:val="EndnoteReference"/>
          <w:rFonts w:ascii="Gill Sans MT" w:eastAsia="Calibri" w:hAnsi="Gill Sans MT" w:cs="Times New Roman"/>
        </w:rPr>
        <w:endnoteReference w:id="4"/>
      </w: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t xml:space="preserve">Yet within two years all had changed again.  The 2017 general election saw SNP support collapse from 50 to 36 per cent with a loss of almost a third of its 2015 vote.   </w:t>
      </w:r>
    </w:p>
    <w:p w:rsidR="00DD76A2" w:rsidRDefault="00DD76A2" w:rsidP="00BC15C9">
      <w:pPr>
        <w:spacing w:after="0" w:line="240" w:lineRule="auto"/>
        <w:rPr>
          <w:rFonts w:ascii="Gill Sans MT" w:eastAsia="Calibri" w:hAnsi="Gill Sans MT" w:cs="Times New Roman"/>
        </w:rPr>
      </w:pPr>
    </w:p>
    <w:p w:rsidR="00DD76A2" w:rsidRDefault="00DD76A2" w:rsidP="00C1018C">
      <w:pPr>
        <w:spacing w:after="0" w:line="240" w:lineRule="auto"/>
        <w:jc w:val="center"/>
        <w:rPr>
          <w:rFonts w:ascii="Gill Sans MT" w:eastAsia="Calibri" w:hAnsi="Gill Sans MT" w:cs="Times New Roman"/>
          <w:b/>
        </w:rPr>
      </w:pPr>
      <w:r w:rsidRPr="00D52780">
        <w:rPr>
          <w:rFonts w:ascii="Gill Sans MT" w:eastAsia="Calibri" w:hAnsi="Gill Sans MT" w:cs="Times New Roman"/>
          <w:b/>
        </w:rPr>
        <w:t>2. Misunderstanding the Brexit vote</w:t>
      </w:r>
      <w:r>
        <w:rPr>
          <w:rFonts w:ascii="Gill Sans MT" w:eastAsia="Calibri" w:hAnsi="Gill Sans MT" w:cs="Times New Roman"/>
          <w:b/>
        </w:rPr>
        <w:t xml:space="preserve"> in Scotland</w:t>
      </w:r>
    </w:p>
    <w:p w:rsidR="00DD76A2" w:rsidRPr="00D52780" w:rsidRDefault="00DD76A2" w:rsidP="00C1018C">
      <w:pPr>
        <w:spacing w:after="0" w:line="240" w:lineRule="auto"/>
        <w:jc w:val="center"/>
        <w:rPr>
          <w:rFonts w:ascii="Gill Sans MT" w:eastAsia="Calibri" w:hAnsi="Gill Sans MT" w:cs="Times New Roman"/>
          <w:b/>
        </w:rPr>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t xml:space="preserve">In the 2016 EU referendum Scotland had voted strongly for Remain: 62 per cent as against 48 per cent across Britain.  What was less noticed, particularly by the Scottish government, was the 36 per cent of SNP voters who </w:t>
      </w:r>
      <w:r w:rsidR="00B454DC">
        <w:rPr>
          <w:rFonts w:ascii="Gill Sans MT" w:eastAsia="Calibri" w:hAnsi="Gill Sans MT" w:cs="Times New Roman"/>
        </w:rPr>
        <w:t>voted</w:t>
      </w:r>
      <w:r>
        <w:rPr>
          <w:rFonts w:ascii="Gill Sans MT" w:eastAsia="Calibri" w:hAnsi="Gill Sans MT" w:cs="Times New Roman"/>
        </w:rPr>
        <w:t xml:space="preserve"> Leave</w:t>
      </w:r>
      <w:r w:rsidR="00B454DC">
        <w:rPr>
          <w:rFonts w:ascii="Gill Sans MT" w:eastAsia="Calibri" w:hAnsi="Gill Sans MT" w:cs="Times New Roman"/>
        </w:rPr>
        <w:t>.</w:t>
      </w:r>
      <w:r>
        <w:rPr>
          <w:rStyle w:val="EndnoteReference"/>
          <w:rFonts w:ascii="Gill Sans MT" w:eastAsia="Calibri" w:hAnsi="Gill Sans MT" w:cs="Times New Roman"/>
        </w:rPr>
        <w:endnoteReference w:id="5"/>
      </w: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t xml:space="preserve">In the run-up to the EU referendum the SNP government had sought to place itself in the lead of those campaigning in favour of EU membership.  Afterwards it asserted a Scottish right to either remain within the EU as an independent nation or, at minimum, to retain a special status within the EU Single Market. It sought to build alliances with pro-EU forces north and south of the border in Ireland and at Westminster its 56 MPs, the biggest single block of pro-EU members, demanded special status for Scotland in the negotiations and sought to build alliances with other pro-EU MPs.  Nicola Sturgeon, as SNP leader, made highly publicised visits to the Presidents of the EU Commission and the EU Council to push Scotland’s case for special consideration. </w:t>
      </w: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t xml:space="preserve">In doing so the SNP sought to position itself as natural leader of the Scottish nation and to identify it with the party’s long-standing slogan of ‘independence in Europe’.  There can be no doubt that this stance helped ensure a strong Remain vote in Scotland (where no major party campaigned for Leave).  Yet this strong identity with the EU also endangered its own base within an electorate increasingly angered by remote corporate power and economic and social impoverishment.  </w:t>
      </w: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t xml:space="preserve">The SNP formally adopted the ‘independence in Europe’ slogan in 1983 to overcome accusations of parochialism after a period in which its electoral strength had declined as a result of its parliamentary support for the Conservatives in the late 70s.  By identifying itself with the EU, and also by proclaiming itself a social democratic party, the SNP was eventually able to make increasing inroads into the Labour heartlands during the years of New Labour dominance.   </w:t>
      </w: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color w:val="000000"/>
        </w:rPr>
      </w:pPr>
      <w:r>
        <w:rPr>
          <w:rFonts w:ascii="Gill Sans MT" w:eastAsia="Calibri" w:hAnsi="Gill Sans MT" w:cs="Times New Roman"/>
        </w:rPr>
        <w:t>Yet the SNP’s courtship of the EU has been almost entirely uncritical.  Ju</w:t>
      </w:r>
      <w:r w:rsidRPr="00A625FD">
        <w:rPr>
          <w:rFonts w:ascii="Gill Sans MT" w:eastAsia="Calibri" w:hAnsi="Gill Sans MT" w:cs="Times New Roman"/>
        </w:rPr>
        <w:t xml:space="preserve">st as EU leaders were putting Greece through the financial </w:t>
      </w:r>
      <w:proofErr w:type="gramStart"/>
      <w:r>
        <w:rPr>
          <w:rFonts w:ascii="Gill Sans MT" w:eastAsia="Calibri" w:hAnsi="Gill Sans MT" w:cs="Times New Roman"/>
        </w:rPr>
        <w:t>w</w:t>
      </w:r>
      <w:r w:rsidRPr="00A625FD">
        <w:rPr>
          <w:rFonts w:ascii="Gill Sans MT" w:eastAsia="Calibri" w:hAnsi="Gill Sans MT" w:cs="Times New Roman"/>
        </w:rPr>
        <w:t>ringer,</w:t>
      </w:r>
      <w:proofErr w:type="gramEnd"/>
      <w:r w:rsidRPr="00A625FD">
        <w:rPr>
          <w:rFonts w:ascii="Gill Sans MT" w:eastAsia="Calibri" w:hAnsi="Gill Sans MT" w:cs="Times New Roman"/>
        </w:rPr>
        <w:t xml:space="preserve"> Nicola Sturgeon addressed the European Policy Centre in Brussels</w:t>
      </w:r>
      <w:r>
        <w:rPr>
          <w:rFonts w:ascii="Gill Sans MT" w:eastAsia="Calibri" w:hAnsi="Gill Sans MT" w:cs="Times New Roman"/>
        </w:rPr>
        <w:t xml:space="preserve"> and gave</w:t>
      </w:r>
      <w:r w:rsidRPr="00A625FD">
        <w:rPr>
          <w:rFonts w:ascii="Gill Sans MT" w:eastAsia="Calibri" w:hAnsi="Gill Sans MT" w:cs="Times New Roman"/>
        </w:rPr>
        <w:t xml:space="preserve"> unqualified support</w:t>
      </w:r>
      <w:r>
        <w:rPr>
          <w:rFonts w:ascii="Gill Sans MT" w:eastAsia="Calibri" w:hAnsi="Gill Sans MT" w:cs="Times New Roman"/>
        </w:rPr>
        <w:t>.</w:t>
      </w:r>
      <w:r w:rsidRPr="00A625FD">
        <w:rPr>
          <w:rFonts w:ascii="Gill Sans MT" w:eastAsia="Calibri" w:hAnsi="Gill Sans MT" w:cs="Times New Roman"/>
        </w:rPr>
        <w:t xml:space="preserve">  No treaty changes were require</w:t>
      </w:r>
      <w:r>
        <w:rPr>
          <w:rFonts w:ascii="Gill Sans MT" w:eastAsia="Calibri" w:hAnsi="Gill Sans MT" w:cs="Times New Roman"/>
        </w:rPr>
        <w:t>d.  No mention was made of TTIP or CETA.</w:t>
      </w:r>
      <w:r w:rsidRPr="00A625FD">
        <w:rPr>
          <w:rFonts w:ascii="Gill Sans MT" w:eastAsia="Calibri" w:hAnsi="Gill Sans MT" w:cs="Times New Roman"/>
        </w:rPr>
        <w:t xml:space="preserve">  The benefits of membership</w:t>
      </w:r>
      <w:r w:rsidRPr="00A625FD">
        <w:rPr>
          <w:rFonts w:ascii="Gill Sans MT" w:eastAsia="Calibri" w:hAnsi="Gill Sans MT" w:cs="Times New Roman"/>
          <w:color w:val="000000"/>
        </w:rPr>
        <w:t xml:space="preserve"> were listed as energy security, trade, social protection for workers and freedom to travel.  "For many investors, EU membership is a vital selling point”.  </w:t>
      </w:r>
      <w:r>
        <w:rPr>
          <w:rFonts w:ascii="Gill Sans MT" w:eastAsia="Calibri" w:hAnsi="Gill Sans MT" w:cs="Times New Roman"/>
          <w:color w:val="000000"/>
        </w:rPr>
        <w:t xml:space="preserve">This was </w:t>
      </w:r>
      <w:r w:rsidRPr="00A625FD">
        <w:rPr>
          <w:rFonts w:ascii="Gill Sans MT" w:eastAsia="Calibri" w:hAnsi="Gill Sans MT" w:cs="Times New Roman"/>
          <w:color w:val="000000"/>
        </w:rPr>
        <w:t>the very same week the Scottish government was claiming that it could do nothing about the private tendering of Scottish ferry service</w:t>
      </w:r>
      <w:r>
        <w:rPr>
          <w:rFonts w:ascii="Gill Sans MT" w:eastAsia="Calibri" w:hAnsi="Gill Sans MT" w:cs="Times New Roman"/>
          <w:color w:val="000000"/>
        </w:rPr>
        <w:t xml:space="preserve">s </w:t>
      </w:r>
      <w:r w:rsidRPr="00A625FD">
        <w:rPr>
          <w:rFonts w:ascii="Gill Sans MT" w:eastAsia="Calibri" w:hAnsi="Gill Sans MT" w:cs="Times New Roman"/>
          <w:color w:val="000000"/>
        </w:rPr>
        <w:t>because of EU competition rules.  The First Minister did not mention this – nor the swingeing austerity requirements of the 2012 Fiscal Compact or</w:t>
      </w:r>
      <w:r>
        <w:rPr>
          <w:rFonts w:ascii="Gill Sans MT" w:eastAsia="Calibri" w:hAnsi="Gill Sans MT" w:cs="Times New Roman"/>
          <w:color w:val="000000"/>
        </w:rPr>
        <w:t xml:space="preserve"> the bans on state aid that had</w:t>
      </w:r>
      <w:r w:rsidRPr="00A625FD">
        <w:rPr>
          <w:rFonts w:ascii="Gill Sans MT" w:eastAsia="Calibri" w:hAnsi="Gill Sans MT" w:cs="Times New Roman"/>
          <w:color w:val="000000"/>
        </w:rPr>
        <w:t xml:space="preserve"> required the re-privatisation of Scotland’s biggest bank, the RBS. The same lack of </w:t>
      </w:r>
      <w:r>
        <w:rPr>
          <w:rFonts w:ascii="Gill Sans MT" w:eastAsia="Calibri" w:hAnsi="Gill Sans MT" w:cs="Times New Roman"/>
          <w:color w:val="000000"/>
        </w:rPr>
        <w:t xml:space="preserve">social democratic </w:t>
      </w:r>
      <w:r w:rsidRPr="00A625FD">
        <w:rPr>
          <w:rFonts w:ascii="Gill Sans MT" w:eastAsia="Calibri" w:hAnsi="Gill Sans MT" w:cs="Times New Roman"/>
          <w:color w:val="000000"/>
        </w:rPr>
        <w:t>focus was</w:t>
      </w:r>
      <w:r>
        <w:rPr>
          <w:rFonts w:ascii="Gill Sans MT" w:eastAsia="Calibri" w:hAnsi="Gill Sans MT" w:cs="Times New Roman"/>
          <w:color w:val="000000"/>
        </w:rPr>
        <w:t xml:space="preserve"> also</w:t>
      </w:r>
      <w:r w:rsidRPr="00A625FD">
        <w:rPr>
          <w:rFonts w:ascii="Gill Sans MT" w:eastAsia="Calibri" w:hAnsi="Gill Sans MT" w:cs="Times New Roman"/>
          <w:color w:val="000000"/>
        </w:rPr>
        <w:t xml:space="preserve"> apparent when the First Minister </w:t>
      </w:r>
      <w:r w:rsidRPr="00A625FD">
        <w:rPr>
          <w:rFonts w:ascii="Gill Sans MT" w:eastAsia="Calibri" w:hAnsi="Gill Sans MT" w:cs="Times New Roman"/>
          <w:color w:val="000000"/>
        </w:rPr>
        <w:lastRenderedPageBreak/>
        <w:t>appeared in New York the following week. There she argued that Scotland should seek the benefits of the ‘Rhine capitalism’, the West German model that combined ‘competitive markets with strong social protection and partnership’ between workers and business</w:t>
      </w:r>
      <w:r>
        <w:rPr>
          <w:rFonts w:ascii="Gill Sans MT" w:eastAsia="Calibri" w:hAnsi="Gill Sans MT" w:cs="Times New Roman"/>
          <w:color w:val="000000"/>
        </w:rPr>
        <w:t>.</w:t>
      </w:r>
    </w:p>
    <w:p w:rsidR="00DD76A2" w:rsidRDefault="00DD76A2" w:rsidP="00BC15C9">
      <w:pPr>
        <w:spacing w:after="0" w:line="240" w:lineRule="auto"/>
        <w:rPr>
          <w:rFonts w:ascii="Gill Sans MT" w:eastAsia="Calibri" w:hAnsi="Gill Sans MT" w:cs="Times New Roman"/>
          <w:color w:val="000000"/>
        </w:rPr>
      </w:pP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color w:val="000000"/>
        </w:rPr>
        <w:t xml:space="preserve">This stance only served to highlight other inconsistencies in SNP policy.  While it claimed to be a social democratic party, its economic policies were strongly neo-liberal.  </w:t>
      </w:r>
      <w:r w:rsidRPr="00A625FD">
        <w:rPr>
          <w:rFonts w:ascii="Gill Sans MT" w:eastAsia="Calibri" w:hAnsi="Gill Sans MT" w:cs="Times New Roman"/>
        </w:rPr>
        <w:t xml:space="preserve">In June 2015 </w:t>
      </w:r>
      <w:r>
        <w:rPr>
          <w:rFonts w:ascii="Gill Sans MT" w:eastAsia="Calibri" w:hAnsi="Gill Sans MT" w:cs="Times New Roman"/>
        </w:rPr>
        <w:t xml:space="preserve">the then </w:t>
      </w:r>
      <w:r w:rsidRPr="00A625FD">
        <w:rPr>
          <w:rFonts w:ascii="Gill Sans MT" w:eastAsia="Calibri" w:hAnsi="Gill Sans MT" w:cs="Times New Roman"/>
        </w:rPr>
        <w:t xml:space="preserve">SNP deputy leader John Swinney published the party’s alternative to the Scotland Bill, </w:t>
      </w:r>
      <w:r w:rsidRPr="00A625FD">
        <w:rPr>
          <w:rFonts w:ascii="Gill Sans MT" w:eastAsia="Calibri" w:hAnsi="Gill Sans MT" w:cs="Times New Roman"/>
          <w:i/>
        </w:rPr>
        <w:t>Beyond Smith</w:t>
      </w:r>
      <w:r w:rsidRPr="00A625FD">
        <w:rPr>
          <w:rFonts w:ascii="Gill Sans MT" w:eastAsia="Calibri" w:hAnsi="Gill Sans MT" w:cs="Times New Roman"/>
        </w:rPr>
        <w:t xml:space="preserve">. This argued for the devolution of a much wider range of tax powers including Corporation Tax and National Insurance. The text made clear that </w:t>
      </w:r>
      <w:r>
        <w:rPr>
          <w:rFonts w:ascii="Gill Sans MT" w:eastAsia="Calibri" w:hAnsi="Gill Sans MT" w:cs="Times New Roman"/>
        </w:rPr>
        <w:t xml:space="preserve">the intention was to vary </w:t>
      </w:r>
      <w:r w:rsidRPr="00A625FD">
        <w:rPr>
          <w:rFonts w:ascii="Gill Sans MT" w:eastAsia="Calibri" w:hAnsi="Gill Sans MT" w:cs="Times New Roman"/>
        </w:rPr>
        <w:t>these taxes downwards</w:t>
      </w:r>
      <w:r>
        <w:rPr>
          <w:rFonts w:ascii="Gill Sans MT" w:eastAsia="Calibri" w:hAnsi="Gill Sans MT" w:cs="Times New Roman"/>
        </w:rPr>
        <w:t>, not upwards,</w:t>
      </w:r>
      <w:r w:rsidRPr="00A625FD">
        <w:rPr>
          <w:rFonts w:ascii="Gill Sans MT" w:eastAsia="Calibri" w:hAnsi="Gill Sans MT" w:cs="Times New Roman"/>
        </w:rPr>
        <w:t xml:space="preserve"> to </w:t>
      </w:r>
      <w:r>
        <w:rPr>
          <w:rFonts w:ascii="Gill Sans MT" w:eastAsia="Calibri" w:hAnsi="Gill Sans MT" w:cs="Times New Roman"/>
        </w:rPr>
        <w:t>attract</w:t>
      </w:r>
      <w:r w:rsidRPr="00A625FD">
        <w:rPr>
          <w:rFonts w:ascii="Gill Sans MT" w:eastAsia="Calibri" w:hAnsi="Gill Sans MT" w:cs="Times New Roman"/>
        </w:rPr>
        <w:t xml:space="preserve"> business and business investment</w:t>
      </w:r>
      <w:r>
        <w:rPr>
          <w:rFonts w:ascii="Gill Sans MT" w:eastAsia="Calibri" w:hAnsi="Gill Sans MT" w:cs="Times New Roman"/>
        </w:rPr>
        <w:t xml:space="preserve"> from elsewhere in Britain</w:t>
      </w:r>
      <w:r w:rsidRPr="00A625FD">
        <w:rPr>
          <w:rFonts w:ascii="Gill Sans MT" w:eastAsia="Calibri" w:hAnsi="Gill Sans MT" w:cs="Times New Roman"/>
        </w:rPr>
        <w:t xml:space="preserve">.  The SNP’s economics spokesman in the Commons Stuart </w:t>
      </w:r>
      <w:proofErr w:type="spellStart"/>
      <w:r w:rsidRPr="00A625FD">
        <w:rPr>
          <w:rFonts w:ascii="Gill Sans MT" w:eastAsia="Calibri" w:hAnsi="Gill Sans MT" w:cs="Times New Roman"/>
        </w:rPr>
        <w:t>Hosie</w:t>
      </w:r>
      <w:proofErr w:type="spellEnd"/>
      <w:r w:rsidRPr="00A625FD">
        <w:rPr>
          <w:rFonts w:ascii="Gill Sans MT" w:eastAsia="Calibri" w:hAnsi="Gill Sans MT" w:cs="Times New Roman"/>
        </w:rPr>
        <w:t xml:space="preserve"> challenged the Tories, in the spirit of neo-liberal economics, to say whether they opposed tax competition</w:t>
      </w:r>
      <w:r>
        <w:rPr>
          <w:rFonts w:ascii="Gill Sans MT" w:eastAsia="Calibri" w:hAnsi="Gill Sans MT" w:cs="Times New Roman"/>
        </w:rPr>
        <w:t xml:space="preserve"> in favour of business</w:t>
      </w:r>
      <w:r w:rsidRPr="00A625FD">
        <w:rPr>
          <w:rFonts w:ascii="Gill Sans MT" w:eastAsia="Calibri" w:hAnsi="Gill Sans MT" w:cs="Times New Roman"/>
        </w:rPr>
        <w:t xml:space="preserve">.  </w:t>
      </w:r>
      <w:r>
        <w:rPr>
          <w:rFonts w:ascii="Gill Sans MT" w:eastAsia="Calibri" w:hAnsi="Gill Sans MT" w:cs="Times New Roman"/>
        </w:rPr>
        <w:t xml:space="preserve">In the course of 2016 the SNP Scottish government was increasingly criticised, in a period of intense austerity, for not using the new powers of the Scottish Parliament to increase taxes on the wealthy and for its refusal to allow local authorities to increase the moderately redistributive Council Tax.  In 2017 the Scottish government continued with its policies of cost-cutting centralisation – police, fire services – and launched its School Governance Reforms, effectively to take schools out of local government control, in a manner very similar to Kenneth Baker’s ‘Local Management’ legislation in 1988.  </w:t>
      </w: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rPr>
        <w:t>In 2017 the SNP’s election manifesto focused on the EU. It demanded a seat at the Brexit negotiating table and did so in order to assert Scotland’s right to ‘our place’ in the Single Market:</w:t>
      </w:r>
    </w:p>
    <w:p w:rsidR="00DD76A2" w:rsidRDefault="00DD76A2" w:rsidP="00A625FD">
      <w:pPr>
        <w:spacing w:after="0" w:line="240" w:lineRule="auto"/>
        <w:rPr>
          <w:rFonts w:ascii="Gill Sans MT" w:eastAsia="Calibri" w:hAnsi="Gill Sans MT" w:cs="Times New Roman"/>
        </w:rPr>
      </w:pPr>
    </w:p>
    <w:p w:rsidR="00DD76A2" w:rsidRDefault="00DD76A2" w:rsidP="003633B4">
      <w:pPr>
        <w:pStyle w:val="NoSpacing"/>
        <w:ind w:left="720"/>
        <w:rPr>
          <w:rFonts w:ascii="Gill Sans MT" w:hAnsi="Gill Sans MT"/>
          <w:sz w:val="20"/>
          <w:szCs w:val="20"/>
        </w:rPr>
      </w:pPr>
      <w:r w:rsidRPr="00B21BE1">
        <w:rPr>
          <w:rFonts w:ascii="Gill Sans MT" w:hAnsi="Gill Sans MT"/>
          <w:sz w:val="20"/>
          <w:szCs w:val="20"/>
        </w:rPr>
        <w:t xml:space="preserve">A majority of people in Scotland voted to remain in the EU - but even many of those who voted to leave have real concerns about the extreme Brexit being pursued by the Prime Minister. Leaving the Single Market could cost 80,000 jobs in Scotland. That is why the Scottish Government published proposals that would keep Scotland in the Single Market, even as we left the EU. These proposals were rejected by the UK government. However, if the SNP wins this election, we will demand a place for Scotland at the Brexit negotiating table and the inclusion of the case for our place in the Single Market in the UK’s negotiating remit. </w:t>
      </w:r>
    </w:p>
    <w:p w:rsidR="00DD76A2" w:rsidRDefault="00DD76A2" w:rsidP="003633B4">
      <w:pPr>
        <w:pStyle w:val="NoSpacing"/>
        <w:ind w:left="720"/>
        <w:rPr>
          <w:rFonts w:ascii="Gill Sans MT" w:hAnsi="Gill Sans MT"/>
          <w:sz w:val="20"/>
          <w:szCs w:val="20"/>
        </w:rPr>
      </w:pPr>
    </w:p>
    <w:p w:rsidR="00DD76A2" w:rsidRDefault="00DD76A2" w:rsidP="003633B4">
      <w:pPr>
        <w:pStyle w:val="NoSpacing"/>
        <w:ind w:left="720"/>
        <w:rPr>
          <w:rFonts w:ascii="Gill Sans MT" w:hAnsi="Gill Sans MT"/>
          <w:sz w:val="20"/>
          <w:szCs w:val="20"/>
        </w:rPr>
      </w:pPr>
      <w:r w:rsidRPr="00B21BE1">
        <w:rPr>
          <w:rFonts w:ascii="Gill Sans MT" w:hAnsi="Gill Sans MT"/>
          <w:sz w:val="20"/>
          <w:szCs w:val="20"/>
        </w:rPr>
        <w:t xml:space="preserve">Scotland’s choice </w:t>
      </w:r>
    </w:p>
    <w:p w:rsidR="00DD76A2" w:rsidRPr="00B21BE1" w:rsidRDefault="00DD76A2" w:rsidP="003633B4">
      <w:pPr>
        <w:pStyle w:val="NoSpacing"/>
        <w:ind w:left="720"/>
        <w:rPr>
          <w:rFonts w:ascii="Gill Sans MT" w:hAnsi="Gill Sans MT"/>
          <w:sz w:val="20"/>
          <w:szCs w:val="20"/>
        </w:rPr>
      </w:pPr>
      <w:r w:rsidRPr="00B21BE1">
        <w:rPr>
          <w:rFonts w:ascii="Gill Sans MT" w:hAnsi="Gill Sans MT"/>
          <w:sz w:val="20"/>
          <w:szCs w:val="20"/>
        </w:rPr>
        <w:t>At the end of the Brexit process, when the final terms of the deal are known, it is right that Scotland should have a choice about our future. Brexit must not simply be imposed on Scotland no matter how damaging it turns out to be. Last year’s Holyrood election delivered the democratic mandate for an independence referendum. The recent vote of Scotland’s national Parliament has underlined that mandate. If the SNP wins a majority of Scottish seats in this election, that would complete a triple lock, further reinforcing the democratic mandate which already exists. And, in such circumstances, any continued Tory attempts to block the people of Scotland having a choice on their future - when the time is right and the options are clear - would be democratically unsustainable.</w:t>
      </w: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rPr>
        <w:t>For a party whose increased support between 2012 and 2016 seems have been largely associated with populist anger against austerity, remote government and corporate power these were risky policies – even if they did fit the book of the Edinburgh finance sector.  They were particularly risky when over a third of the SNP supporters had voted Leave and 67 per cent of Scottish voters in general expressed dissatisfaction with the EU.</w:t>
      </w: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rPr>
        <w:t>In the election it was the Conservatives who did best – winning twelve additional seats in the SNP’s rural heartland of the north-east</w:t>
      </w:r>
      <w:r w:rsidR="00727DBC">
        <w:rPr>
          <w:rFonts w:ascii="Gill Sans MT" w:eastAsia="Calibri" w:hAnsi="Gill Sans MT" w:cs="Times New Roman"/>
        </w:rPr>
        <w:t xml:space="preserve"> and the borders</w:t>
      </w:r>
      <w:r>
        <w:rPr>
          <w:rFonts w:ascii="Gill Sans MT" w:eastAsia="Calibri" w:hAnsi="Gill Sans MT" w:cs="Times New Roman"/>
        </w:rPr>
        <w:t xml:space="preserve">.  Labour did significantly less well.  The pro-Labour swing was </w:t>
      </w:r>
      <w:r w:rsidR="00126639">
        <w:rPr>
          <w:rFonts w:ascii="Gill Sans MT" w:eastAsia="Calibri" w:hAnsi="Gill Sans MT" w:cs="Times New Roman"/>
        </w:rPr>
        <w:t>2.8</w:t>
      </w:r>
      <w:r>
        <w:rPr>
          <w:rFonts w:ascii="Gill Sans MT" w:eastAsia="Calibri" w:hAnsi="Gill Sans MT" w:cs="Times New Roman"/>
        </w:rPr>
        <w:t xml:space="preserve"> per cent as against 10.2 per cent in England. Only six seats were recovered.  This failure of the </w:t>
      </w:r>
      <w:proofErr w:type="spellStart"/>
      <w:r>
        <w:rPr>
          <w:rFonts w:ascii="Gill Sans MT" w:eastAsia="Calibri" w:hAnsi="Gill Sans MT" w:cs="Times New Roman"/>
        </w:rPr>
        <w:t>Corbyn</w:t>
      </w:r>
      <w:proofErr w:type="spellEnd"/>
      <w:r>
        <w:rPr>
          <w:rFonts w:ascii="Gill Sans MT" w:eastAsia="Calibri" w:hAnsi="Gill Sans MT" w:cs="Times New Roman"/>
        </w:rPr>
        <w:t xml:space="preserve"> effect to penetrate Scotland was at least in part because the Scottish Labour leadership found its radicalism unwelcome, campaigned separately as Scottish Labour and sought at least some common cause with the Conservatives in highlighting opposition to a second independence referendum.  Labour’s radical Manifesto was kept almost entirely under wraps.  Yet the key thrust of that manifesto was precisely about working people collectively regaining democratic control over the economy – proposals that also mirrored very closely Scotland’s economic needs.</w:t>
      </w:r>
    </w:p>
    <w:p w:rsidR="00DD76A2" w:rsidRDefault="00DD76A2" w:rsidP="00A625FD">
      <w:pPr>
        <w:spacing w:after="0" w:line="240" w:lineRule="auto"/>
        <w:rPr>
          <w:rFonts w:ascii="Gill Sans MT" w:eastAsia="Calibri" w:hAnsi="Gill Sans MT" w:cs="Times New Roman"/>
        </w:rPr>
      </w:pPr>
    </w:p>
    <w:p w:rsidR="00DD76A2" w:rsidRDefault="00DD76A2" w:rsidP="00F12B1F">
      <w:pPr>
        <w:spacing w:after="0" w:line="240" w:lineRule="auto"/>
        <w:jc w:val="center"/>
        <w:rPr>
          <w:rFonts w:ascii="Gill Sans MT" w:eastAsia="Calibri" w:hAnsi="Gill Sans MT" w:cs="Times New Roman"/>
        </w:rPr>
      </w:pPr>
      <w:r>
        <w:rPr>
          <w:rFonts w:ascii="Gill Sans MT" w:eastAsia="Calibri" w:hAnsi="Gill Sans MT" w:cs="Times New Roman"/>
        </w:rPr>
        <w:t>3.  The Needs of the Scottish Economy</w:t>
      </w: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rPr>
        <w:t xml:space="preserve">It is unfortunately not the case that the SNP has been able to shelter Scotland from the worst effects of either the 2008 crisis or of Conservative austerity policies.  Scotland is a small, open economy particularly exposed to external corporate control.  Previously possessing a disproportionately large financial sector and industrially largely reliant on oil and gas servicing, it now faces a very difficult future in terms of maintaining its industrial competitiveness.  This is in part at least because of the way in which the economy is now owned. </w:t>
      </w: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rPr>
        <w:t xml:space="preserve">The latest edition of the Fraser of </w:t>
      </w:r>
      <w:proofErr w:type="spellStart"/>
      <w:r>
        <w:rPr>
          <w:rFonts w:ascii="Gill Sans MT" w:eastAsia="Calibri" w:hAnsi="Gill Sans MT" w:cs="Times New Roman"/>
        </w:rPr>
        <w:t>Allander</w:t>
      </w:r>
      <w:proofErr w:type="spellEnd"/>
      <w:r>
        <w:rPr>
          <w:rFonts w:ascii="Gill Sans MT" w:eastAsia="Calibri" w:hAnsi="Gill Sans MT" w:cs="Times New Roman"/>
        </w:rPr>
        <w:t xml:space="preserve"> </w:t>
      </w:r>
      <w:r w:rsidRPr="00D73D27">
        <w:rPr>
          <w:rFonts w:ascii="Gill Sans MT" w:eastAsia="Calibri" w:hAnsi="Gill Sans MT" w:cs="Times New Roman"/>
          <w:i/>
        </w:rPr>
        <w:t>Economic Commentar</w:t>
      </w:r>
      <w:r>
        <w:rPr>
          <w:rFonts w:ascii="Gill Sans MT" w:eastAsia="Calibri" w:hAnsi="Gill Sans MT" w:cs="Times New Roman"/>
        </w:rPr>
        <w:t>y, for June 2017, describes the position of the Scottish economy as ‘precarious’: total growth over the past two years has been 1.2 per cent as against 3.5 per cent for Britain.</w:t>
      </w:r>
      <w:r>
        <w:rPr>
          <w:rStyle w:val="EndnoteReference"/>
          <w:rFonts w:ascii="Gill Sans MT" w:eastAsia="Calibri" w:hAnsi="Gill Sans MT" w:cs="Times New Roman"/>
        </w:rPr>
        <w:endnoteReference w:id="6"/>
      </w:r>
      <w:r>
        <w:rPr>
          <w:rFonts w:ascii="Gill Sans MT" w:eastAsia="Calibri" w:hAnsi="Gill Sans MT" w:cs="Times New Roman"/>
        </w:rPr>
        <w:t xml:space="preserve">  In part this has been because of the decline in the oil and gas sector but to a greater degree it stems from more fundamental and underlying factors.  Business investment and research and development are all lower than for Britain and far lower than for most OECD countries.  Figure 1 shows Scotland at virtually at the bottom of the league for business investment. Figure 2 shows scarcely better levels of research and development expenditure.  Productivity, as for Britain, remains alarmingly poor with almost no increase for a decade.</w:t>
      </w:r>
    </w:p>
    <w:p w:rsidR="00DD76A2" w:rsidRDefault="00DD76A2" w:rsidP="00A625FD">
      <w:pPr>
        <w:spacing w:after="0" w:line="240" w:lineRule="auto"/>
        <w:rPr>
          <w:rFonts w:ascii="Gill Sans MT" w:eastAsia="Calibri" w:hAnsi="Gill Sans MT" w:cs="Times New Roman"/>
        </w:rPr>
      </w:pPr>
    </w:p>
    <w:p w:rsidR="00DD76A2" w:rsidRDefault="00DD76A2" w:rsidP="00D73D27">
      <w:pPr>
        <w:spacing w:after="0" w:line="240" w:lineRule="auto"/>
        <w:jc w:val="center"/>
        <w:rPr>
          <w:rFonts w:ascii="Gill Sans MT" w:eastAsia="Calibri" w:hAnsi="Gill Sans MT" w:cs="Times New Roman"/>
        </w:rPr>
      </w:pPr>
      <w:r>
        <w:rPr>
          <w:rFonts w:ascii="Gill Sans MT" w:eastAsia="Calibri" w:hAnsi="Gill Sans MT" w:cs="Times New Roman"/>
        </w:rPr>
        <w:t>Figure 1 Business Investment for OECD countries 2014</w:t>
      </w:r>
      <w:r>
        <w:rPr>
          <w:rStyle w:val="EndnoteReference"/>
          <w:rFonts w:ascii="Gill Sans MT" w:eastAsia="Calibri" w:hAnsi="Gill Sans MT" w:cs="Times New Roman"/>
        </w:rPr>
        <w:endnoteReference w:id="7"/>
      </w:r>
    </w:p>
    <w:p w:rsidR="00DD76A2" w:rsidRDefault="00DD76A2" w:rsidP="00A625FD">
      <w:pPr>
        <w:spacing w:after="0" w:line="240" w:lineRule="auto"/>
        <w:rPr>
          <w:rFonts w:ascii="Gill Sans MT" w:eastAsia="Calibri" w:hAnsi="Gill Sans MT" w:cs="Times New Roman"/>
        </w:rPr>
      </w:pPr>
      <w:r>
        <w:rPr>
          <w:rFonts w:ascii="Gill Sans MT" w:eastAsia="Calibri" w:hAnsi="Gill Sans MT" w:cs="Times New Roman"/>
          <w:noProof/>
          <w:lang w:eastAsia="en-GB"/>
        </w:rPr>
        <mc:AlternateContent>
          <mc:Choice Requires="wps">
            <w:drawing>
              <wp:anchor distT="0" distB="0" distL="114300" distR="114300" simplePos="0" relativeHeight="251664384" behindDoc="0" locked="0" layoutInCell="1" allowOverlap="1" wp14:anchorId="2221D506" wp14:editId="06F5FCC2">
                <wp:simplePos x="0" y="0"/>
                <wp:positionH relativeFrom="column">
                  <wp:posOffset>580030</wp:posOffset>
                </wp:positionH>
                <wp:positionV relativeFrom="paragraph">
                  <wp:posOffset>44297</wp:posOffset>
                </wp:positionV>
                <wp:extent cx="4687200" cy="2265529"/>
                <wp:effectExtent l="0" t="0" r="18415" b="20955"/>
                <wp:wrapNone/>
                <wp:docPr id="2" name="Text Box 2"/>
                <wp:cNvGraphicFramePr/>
                <a:graphic xmlns:a="http://schemas.openxmlformats.org/drawingml/2006/main">
                  <a:graphicData uri="http://schemas.microsoft.com/office/word/2010/wordprocessingShape">
                    <wps:wsp>
                      <wps:cNvSpPr txBox="1"/>
                      <wps:spPr>
                        <a:xfrm>
                          <a:off x="0" y="0"/>
                          <a:ext cx="4687200" cy="2265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6A2" w:rsidRDefault="00DD76A2">
                            <w:r>
                              <w:rPr>
                                <w:noProof/>
                                <w:lang w:eastAsia="en-GB"/>
                              </w:rPr>
                              <w:drawing>
                                <wp:inline distT="0" distB="0" distL="0" distR="0" wp14:anchorId="5FB2FBA2" wp14:editId="706C62DF">
                                  <wp:extent cx="4805045" cy="243059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4805045" cy="2430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65pt;margin-top:3.5pt;width:369.05pt;height:17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" fillcolor="white [3201]" strokeweight=".5pt">
                <v:textbox>
                  <w:txbxContent>
                    <w:p w:rsidR="00DD76A2" w:rsidRDefault="00DD76A2">
                      <w:r>
                        <w:rPr>
                          <w:noProof/>
                          <w:lang w:eastAsia="en-GB"/>
                        </w:rPr>
                        <w:drawing>
                          <wp:inline distT="0" distB="0" distL="0" distR="0" wp14:anchorId="5FB2FBA2" wp14:editId="706C62DF">
                            <wp:extent cx="4805045" cy="243059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4805045" cy="2430599"/>
                                    </a:xfrm>
                                    <a:prstGeom prst="rect">
                                      <a:avLst/>
                                    </a:prstGeom>
                                  </pic:spPr>
                                </pic:pic>
                              </a:graphicData>
                            </a:graphic>
                          </wp:inline>
                        </w:drawing>
                      </w:r>
                    </w:p>
                  </w:txbxContent>
                </v:textbox>
              </v:shape>
            </w:pict>
          </mc:Fallback>
        </mc:AlternateContent>
      </w: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Default="00DD76A2" w:rsidP="00A625FD">
      <w:pPr>
        <w:spacing w:after="0" w:line="240" w:lineRule="auto"/>
        <w:rPr>
          <w:rFonts w:ascii="Gill Sans MT" w:eastAsia="Calibri" w:hAnsi="Gill Sans MT" w:cs="Times New Roman"/>
        </w:rPr>
      </w:pPr>
    </w:p>
    <w:p w:rsidR="00DD76A2" w:rsidRPr="00A625FD" w:rsidRDefault="00DD76A2" w:rsidP="00D73D27">
      <w:pPr>
        <w:spacing w:after="0" w:line="240" w:lineRule="auto"/>
        <w:jc w:val="center"/>
        <w:rPr>
          <w:rFonts w:ascii="Gill Sans MT" w:eastAsia="Calibri" w:hAnsi="Gill Sans MT" w:cs="Times New Roman"/>
        </w:rPr>
      </w:pPr>
      <w:r>
        <w:rPr>
          <w:rFonts w:ascii="Gill Sans MT" w:eastAsia="Calibri" w:hAnsi="Gill Sans MT" w:cs="Times New Roman"/>
          <w:noProof/>
          <w:lang w:eastAsia="en-GB"/>
        </w:rPr>
        <mc:AlternateContent>
          <mc:Choice Requires="wps">
            <w:drawing>
              <wp:anchor distT="0" distB="0" distL="114300" distR="114300" simplePos="0" relativeHeight="251665408" behindDoc="0" locked="0" layoutInCell="1" allowOverlap="1" wp14:anchorId="54802BCB" wp14:editId="541CFB4A">
                <wp:simplePos x="0" y="0"/>
                <wp:positionH relativeFrom="column">
                  <wp:posOffset>891540</wp:posOffset>
                </wp:positionH>
                <wp:positionV relativeFrom="paragraph">
                  <wp:posOffset>158750</wp:posOffset>
                </wp:positionV>
                <wp:extent cx="4073525" cy="2033270"/>
                <wp:effectExtent l="0" t="0" r="22225" b="24130"/>
                <wp:wrapNone/>
                <wp:docPr id="3" name="Text Box 3"/>
                <wp:cNvGraphicFramePr/>
                <a:graphic xmlns:a="http://schemas.openxmlformats.org/drawingml/2006/main">
                  <a:graphicData uri="http://schemas.microsoft.com/office/word/2010/wordprocessingShape">
                    <wps:wsp>
                      <wps:cNvSpPr txBox="1"/>
                      <wps:spPr>
                        <a:xfrm>
                          <a:off x="0" y="0"/>
                          <a:ext cx="4073525" cy="203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6A2" w:rsidRDefault="00DD76A2">
                            <w:r>
                              <w:rPr>
                                <w:noProof/>
                                <w:lang w:eastAsia="en-GB"/>
                              </w:rPr>
                              <w:drawing>
                                <wp:inline distT="0" distB="0" distL="0" distR="0" wp14:anchorId="619912FA" wp14:editId="4879ED77">
                                  <wp:extent cx="3884295" cy="209659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3884295" cy="2096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70.2pt;margin-top:12.5pt;width:320.75pt;height:16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" fillcolor="white [3201]" strokeweight=".5pt">
                <v:textbox>
                  <w:txbxContent>
                    <w:p w:rsidR="00DD76A2" w:rsidRDefault="00DD76A2">
                      <w:r>
                        <w:rPr>
                          <w:noProof/>
                          <w:lang w:eastAsia="en-GB"/>
                        </w:rPr>
                        <w:drawing>
                          <wp:inline distT="0" distB="0" distL="0" distR="0" wp14:anchorId="619912FA" wp14:editId="4879ED77">
                            <wp:extent cx="3884295" cy="209659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3884295" cy="2096599"/>
                                    </a:xfrm>
                                    <a:prstGeom prst="rect">
                                      <a:avLst/>
                                    </a:prstGeom>
                                  </pic:spPr>
                                </pic:pic>
                              </a:graphicData>
                            </a:graphic>
                          </wp:inline>
                        </w:drawing>
                      </w:r>
                    </w:p>
                  </w:txbxContent>
                </v:textbox>
              </v:shape>
            </w:pict>
          </mc:Fallback>
        </mc:AlternateContent>
      </w:r>
      <w:r>
        <w:rPr>
          <w:rFonts w:ascii="Gill Sans MT" w:eastAsia="Calibri" w:hAnsi="Gill Sans MT" w:cs="Times New Roman"/>
        </w:rPr>
        <w:t>Figure 2 Research and Development in OECD countries in 2014</w:t>
      </w: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p>
    <w:p w:rsidR="00DD76A2" w:rsidRDefault="00DD76A2" w:rsidP="00BC15C9">
      <w:pPr>
        <w:spacing w:after="0" w:line="240" w:lineRule="auto"/>
        <w:rPr>
          <w:rFonts w:ascii="Gill Sans MT" w:eastAsia="Calibri" w:hAnsi="Gill Sans MT" w:cs="Times New Roman"/>
        </w:rPr>
      </w:pPr>
      <w:r>
        <w:rPr>
          <w:rFonts w:ascii="Gill Sans MT" w:eastAsia="Calibri" w:hAnsi="Gill Sans MT" w:cs="Times New Roman"/>
        </w:rPr>
        <w:t xml:space="preserve"> </w:t>
      </w:r>
    </w:p>
    <w:p w:rsidR="00DD76A2" w:rsidRDefault="00DD76A2" w:rsidP="00BC15C9">
      <w:pPr>
        <w:spacing w:after="0" w:line="240" w:lineRule="auto"/>
        <w:rPr>
          <w:rFonts w:ascii="Gill Sans MT" w:eastAsia="Calibri" w:hAnsi="Gill Sans MT" w:cs="Times New Roman"/>
        </w:rPr>
      </w:pPr>
    </w:p>
    <w:p w:rsidR="00DD76A2" w:rsidRDefault="00DD76A2" w:rsidP="00196DED">
      <w:pPr>
        <w:pStyle w:val="NoSpacing"/>
      </w:pPr>
    </w:p>
    <w:p w:rsidR="00DD76A2" w:rsidRDefault="00DD76A2" w:rsidP="00196DED">
      <w:pPr>
        <w:pStyle w:val="NoSpacing"/>
      </w:pPr>
    </w:p>
    <w:p w:rsidR="00DD76A2" w:rsidRDefault="00DD76A2" w:rsidP="00196DED">
      <w:pPr>
        <w:pStyle w:val="NoSpacing"/>
      </w:pPr>
    </w:p>
    <w:p w:rsidR="00DD76A2" w:rsidRDefault="00DD76A2" w:rsidP="00196DED">
      <w:pPr>
        <w:pStyle w:val="NoSpacing"/>
      </w:pPr>
    </w:p>
    <w:p w:rsidR="00DD76A2" w:rsidRDefault="00DD76A2" w:rsidP="00196DED">
      <w:pPr>
        <w:pStyle w:val="NoSpacing"/>
      </w:pPr>
    </w:p>
    <w:p w:rsidR="00DD76A2" w:rsidRDefault="00DD76A2" w:rsidP="00196DED">
      <w:pPr>
        <w:pStyle w:val="NoSpacing"/>
      </w:pPr>
    </w:p>
    <w:p w:rsidR="00DD76A2" w:rsidRDefault="00DD76A2" w:rsidP="00196DED">
      <w:pPr>
        <w:pStyle w:val="NoSpacing"/>
        <w:jc w:val="center"/>
      </w:pPr>
    </w:p>
    <w:p w:rsidR="00DD76A2" w:rsidRDefault="00DD76A2" w:rsidP="00196DED">
      <w:pPr>
        <w:pStyle w:val="NoSpacing"/>
        <w:jc w:val="center"/>
      </w:pPr>
    </w:p>
    <w:p w:rsidR="00DD76A2" w:rsidRDefault="00DD76A2" w:rsidP="00251417">
      <w:pPr>
        <w:pStyle w:val="NoSpacing"/>
      </w:pPr>
      <w:r>
        <w:t xml:space="preserve">One major factor influencing the lack </w:t>
      </w:r>
      <w:r w:rsidR="00F813A1">
        <w:t xml:space="preserve">of </w:t>
      </w:r>
      <w:r>
        <w:t xml:space="preserve">business investment would seem to be the increasingly high level of ownership </w:t>
      </w:r>
      <w:r w:rsidRPr="00D43594">
        <w:rPr>
          <w:i/>
        </w:rPr>
        <w:t>and</w:t>
      </w:r>
      <w:r>
        <w:t xml:space="preserve"> control by externally based finance companies.  Driven by the highly competitive and rapidly expanding global investment market, these companies </w:t>
      </w:r>
      <w:r w:rsidR="00870507">
        <w:t>require for their own survival</w:t>
      </w:r>
      <w:r>
        <w:t xml:space="preserve"> maximum short-term investor return – which is, inevitably, at the expense of long-term investment.  Even among previously Scottish-owned and Scottish registered companies the past </w:t>
      </w:r>
      <w:r>
        <w:lastRenderedPageBreak/>
        <w:t>decade has seen a rapid transfer of ownership. Today almost are all controlled through share blocks owned by a handful of investment companies.</w:t>
      </w:r>
      <w:r w:rsidR="008E29A2">
        <w:rPr>
          <w:rStyle w:val="EndnoteReference"/>
        </w:rPr>
        <w:endnoteReference w:id="8"/>
      </w:r>
      <w:r>
        <w:t xml:space="preserve">  </w:t>
      </w:r>
    </w:p>
    <w:p w:rsidR="00DD76A2" w:rsidRDefault="00DD76A2" w:rsidP="003807EF">
      <w:pPr>
        <w:pStyle w:val="NoSpacing"/>
        <w:spacing w:before="240"/>
      </w:pPr>
      <w:r>
        <w:t>This loss of ownership has been accompanied by a general deskilling of the Scottish economy. The beginning of this century saw the loss of electronics, the 2008 financial crisis inflicted particularly heavy losses on the banking sector (with both big Scottish banks failing), metallurgy and precision engineering have continued their decline and the past four years having seen a major fall in oil and gas servicing.  This has left the Scottish economy reliant on less technologically advanced areas – mainly fish processing, agricultural products and whisky.  Today Scotland’s level of exports is equivalent to 10 per cent of GDP, half that for Britain and far below Germany’s 4</w:t>
      </w:r>
      <w:r w:rsidR="00B454DC">
        <w:t>4</w:t>
      </w:r>
      <w:r>
        <w:t xml:space="preserve"> per cent.</w:t>
      </w:r>
    </w:p>
    <w:p w:rsidR="00DD76A2" w:rsidRDefault="00DD76A2" w:rsidP="00DA6C46">
      <w:pPr>
        <w:pStyle w:val="NoSpacing"/>
        <w:spacing w:before="240"/>
        <w:jc w:val="center"/>
      </w:pPr>
      <w:r>
        <w:t>Figure 3: Scottish exports 2015</w:t>
      </w:r>
      <w:r>
        <w:rPr>
          <w:rStyle w:val="EndnoteReference"/>
        </w:rPr>
        <w:endnoteReference w:id="9"/>
      </w:r>
    </w:p>
    <w:p w:rsidR="00DD76A2" w:rsidRDefault="00DD76A2" w:rsidP="00251417">
      <w:pPr>
        <w:pStyle w:val="NoSpacing"/>
      </w:pPr>
      <w:r>
        <w:rPr>
          <w:noProof/>
          <w:lang w:eastAsia="en-GB"/>
        </w:rPr>
        <mc:AlternateContent>
          <mc:Choice Requires="wps">
            <w:drawing>
              <wp:anchor distT="0" distB="0" distL="114300" distR="114300" simplePos="0" relativeHeight="251666432" behindDoc="0" locked="0" layoutInCell="1" allowOverlap="1" wp14:anchorId="799F268E" wp14:editId="6997182F">
                <wp:simplePos x="0" y="0"/>
                <wp:positionH relativeFrom="column">
                  <wp:posOffset>1041400</wp:posOffset>
                </wp:positionH>
                <wp:positionV relativeFrom="paragraph">
                  <wp:posOffset>44450</wp:posOffset>
                </wp:positionV>
                <wp:extent cx="3257550" cy="2324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5755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6A2" w:rsidRDefault="00DD76A2">
                            <w:r>
                              <w:rPr>
                                <w:noProof/>
                                <w:lang w:eastAsia="en-GB"/>
                              </w:rPr>
                              <w:drawing>
                                <wp:inline distT="0" distB="0" distL="0" distR="0" wp14:anchorId="3FAA31F2" wp14:editId="7F4AD77E">
                                  <wp:extent cx="3068320" cy="215135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Effect>
                                                      <a14:saturation sat="0"/>
                                                    </a14:imgEffect>
                                                  </a14:imgLayer>
                                                </a14:imgProps>
                                              </a:ext>
                                            </a:extLst>
                                          </a:blip>
                                          <a:stretch>
                                            <a:fillRect/>
                                          </a:stretch>
                                        </pic:blipFill>
                                        <pic:spPr>
                                          <a:xfrm>
                                            <a:off x="0" y="0"/>
                                            <a:ext cx="3068320" cy="21513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82pt;margin-top:3.5pt;width:256.5pt;height:1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" fillcolor="white [3201]" strokeweight=".5pt">
                <v:textbox>
                  <w:txbxContent>
                    <w:p w:rsidR="00DD76A2" w:rsidRDefault="00DD76A2">
                      <w:r>
                        <w:rPr>
                          <w:noProof/>
                          <w:lang w:eastAsia="en-GB"/>
                        </w:rPr>
                        <w:drawing>
                          <wp:inline distT="0" distB="0" distL="0" distR="0" wp14:anchorId="3FAA31F2" wp14:editId="7F4AD77E">
                            <wp:extent cx="3068320" cy="215135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50000"/>
                                              </a14:imgEffect>
                                              <a14:imgEffect>
                                                <a14:saturation sat="0"/>
                                              </a14:imgEffect>
                                            </a14:imgLayer>
                                          </a14:imgProps>
                                        </a:ext>
                                      </a:extLst>
                                    </a:blip>
                                    <a:stretch>
                                      <a:fillRect/>
                                    </a:stretch>
                                  </pic:blipFill>
                                  <pic:spPr>
                                    <a:xfrm>
                                      <a:off x="0" y="0"/>
                                      <a:ext cx="3068320" cy="2151351"/>
                                    </a:xfrm>
                                    <a:prstGeom prst="rect">
                                      <a:avLst/>
                                    </a:prstGeom>
                                  </pic:spPr>
                                </pic:pic>
                              </a:graphicData>
                            </a:graphic>
                          </wp:inline>
                        </w:drawing>
                      </w:r>
                    </w:p>
                  </w:txbxContent>
                </v:textbox>
              </v:shape>
            </w:pict>
          </mc:Fallback>
        </mc:AlternateContent>
      </w: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p>
    <w:p w:rsidR="00DD76A2" w:rsidRDefault="00DD76A2" w:rsidP="00251417">
      <w:pPr>
        <w:pStyle w:val="NoSpacing"/>
      </w:pPr>
      <w:r>
        <w:t>All this leaves Scotland particularly dependent on public sector expenditure – mainly health, education and other local government services – still funded, as a result of the Barnett formula, at around 15 per cent ahead of the British average.   Conversely, however, Scotland also tends to feel the effects of overall cuts in public expenditure disproportionately – with over 40,000 jobs, nearly 20 per cent of the total, lost in local government since 2010.</w:t>
      </w:r>
      <w:r>
        <w:rPr>
          <w:rStyle w:val="EndnoteReference"/>
        </w:rPr>
        <w:endnoteReference w:id="10"/>
      </w:r>
      <w:r>
        <w:t xml:space="preserve"> </w:t>
      </w:r>
    </w:p>
    <w:p w:rsidR="00DD76A2" w:rsidRDefault="00DD76A2" w:rsidP="00251417">
      <w:pPr>
        <w:pStyle w:val="NoSpacing"/>
      </w:pPr>
    </w:p>
    <w:p w:rsidR="00DD76A2" w:rsidRDefault="00DD76A2" w:rsidP="00251417">
      <w:pPr>
        <w:pStyle w:val="NoSpacing"/>
      </w:pPr>
      <w:r>
        <w:t xml:space="preserve">So, while Scotland still has some economic </w:t>
      </w:r>
      <w:proofErr w:type="gramStart"/>
      <w:r>
        <w:t>strengths</w:t>
      </w:r>
      <w:proofErr w:type="gramEnd"/>
      <w:r>
        <w:t xml:space="preserve"> – in chemical and petroleum products</w:t>
      </w:r>
      <w:r w:rsidR="00BF55EE">
        <w:t>, shipbuilding</w:t>
      </w:r>
      <w:r>
        <w:t xml:space="preserve"> and bio-medical sciences – these are matched by serious vulnerabilities.  Because of the size of its public sector it still has levels of collective bargaining slightly above the British average.</w:t>
      </w:r>
      <w:r>
        <w:rPr>
          <w:rStyle w:val="EndnoteReference"/>
        </w:rPr>
        <w:endnoteReference w:id="11"/>
      </w:r>
      <w:r>
        <w:t xml:space="preserve">  Largely for the same reason wage levels are also a little above average.  Yet this conceals serious disparities within Scotland and the existence in large areas of the workforce in services, construction and agriculture where conditions are poor, precarious and dangerous.  Workplace mortality in Scotland is almost double that for Britain.</w:t>
      </w:r>
      <w:r>
        <w:rPr>
          <w:rStyle w:val="EndnoteReference"/>
        </w:rPr>
        <w:endnoteReference w:id="12"/>
      </w:r>
      <w:r>
        <w:t xml:space="preserve">  Average life expectancy is two years shorter.</w:t>
      </w:r>
      <w:r>
        <w:rPr>
          <w:rStyle w:val="EndnoteReference"/>
        </w:rPr>
        <w:endnoteReference w:id="13"/>
      </w:r>
      <w:r>
        <w:t xml:space="preserve">  Within Scotland </w:t>
      </w:r>
      <w:proofErr w:type="gramStart"/>
      <w:r>
        <w:t>itself</w:t>
      </w:r>
      <w:proofErr w:type="gramEnd"/>
      <w:r>
        <w:t xml:space="preserve"> there is a differential life expectancy of ten years between areas such as Glasgow City and its neighbouring suburbs – a measure of the underlying poverty that seems to have played a significant part in recent electoral history.</w:t>
      </w:r>
      <w:r>
        <w:rPr>
          <w:rStyle w:val="EndnoteReference"/>
        </w:rPr>
        <w:endnoteReference w:id="14"/>
      </w:r>
    </w:p>
    <w:p w:rsidR="00BF55EE" w:rsidRDefault="00BF55EE" w:rsidP="00251417">
      <w:pPr>
        <w:pStyle w:val="NoSpacing"/>
      </w:pPr>
    </w:p>
    <w:p w:rsidR="00B76331" w:rsidRDefault="00B76331" w:rsidP="00B76331">
      <w:pPr>
        <w:pStyle w:val="NoSpacing"/>
        <w:jc w:val="center"/>
      </w:pPr>
      <w:r>
        <w:t xml:space="preserve">4. The Single Market or Economic </w:t>
      </w:r>
      <w:proofErr w:type="gramStart"/>
      <w:r>
        <w:t>Democracy</w:t>
      </w:r>
      <w:r w:rsidR="008E29A2">
        <w:t xml:space="preserve"> ?</w:t>
      </w:r>
      <w:proofErr w:type="gramEnd"/>
    </w:p>
    <w:p w:rsidR="00B76331" w:rsidRDefault="00B76331" w:rsidP="00251417">
      <w:pPr>
        <w:pStyle w:val="NoSpacing"/>
      </w:pPr>
    </w:p>
    <w:p w:rsidR="00EA6459" w:rsidRDefault="00720AD8" w:rsidP="00251417">
      <w:pPr>
        <w:pStyle w:val="NoSpacing"/>
      </w:pPr>
      <w:r>
        <w:t>The</w:t>
      </w:r>
      <w:r w:rsidR="0000075B">
        <w:t xml:space="preserve"> SNP victory in the 2015 election was </w:t>
      </w:r>
      <w:r w:rsidR="00D83DFD">
        <w:t>followed by</w:t>
      </w:r>
      <w:r>
        <w:t xml:space="preserve"> </w:t>
      </w:r>
      <w:r w:rsidR="00EA6459">
        <w:t>calls</w:t>
      </w:r>
      <w:r>
        <w:t xml:space="preserve"> for a second independence referendum</w:t>
      </w:r>
      <w:r w:rsidR="0000075B">
        <w:t xml:space="preserve">. </w:t>
      </w:r>
      <w:r w:rsidR="00D83DFD">
        <w:t xml:space="preserve"> </w:t>
      </w:r>
      <w:r w:rsidR="0000075B">
        <w:t>It was, however,</w:t>
      </w:r>
      <w:r w:rsidR="00EA6459">
        <w:t xml:space="preserve"> a demand</w:t>
      </w:r>
      <w:r w:rsidR="0000075B">
        <w:t xml:space="preserve"> that was</w:t>
      </w:r>
      <w:r w:rsidR="00421A13">
        <w:t xml:space="preserve"> quickly</w:t>
      </w:r>
      <w:r>
        <w:t xml:space="preserve"> muted by the </w:t>
      </w:r>
      <w:r w:rsidR="0000075B">
        <w:t>SNP leadership in light of the simultaneous collapse in the</w:t>
      </w:r>
      <w:r>
        <w:t xml:space="preserve"> price</w:t>
      </w:r>
      <w:r w:rsidR="0000075B">
        <w:t xml:space="preserve"> of oil</w:t>
      </w:r>
      <w:r>
        <w:t xml:space="preserve">.  </w:t>
      </w:r>
      <w:r w:rsidR="00D025A9">
        <w:t>S</w:t>
      </w:r>
      <w:r w:rsidR="00A248C4">
        <w:t>imple arithmetic reveal</w:t>
      </w:r>
      <w:r w:rsidR="00EA6459">
        <w:t>ed</w:t>
      </w:r>
      <w:r w:rsidR="00A248C4">
        <w:t xml:space="preserve"> that </w:t>
      </w:r>
      <w:r>
        <w:t xml:space="preserve">‘Independence in Europe’ </w:t>
      </w:r>
      <w:r w:rsidR="00A248C4">
        <w:t xml:space="preserve">would result in a public sector deficit of around 9 per cent – </w:t>
      </w:r>
      <w:r w:rsidR="00D9357F">
        <w:t>placing</w:t>
      </w:r>
      <w:r w:rsidR="00A248C4">
        <w:t xml:space="preserve"> Scotland in serious violation of the EU’s requirement for a balanced budget. </w:t>
      </w:r>
      <w:r w:rsidR="00D9357F">
        <w:t xml:space="preserve"> I</w:t>
      </w:r>
      <w:r w:rsidR="0000075B">
        <w:t xml:space="preserve">nstead </w:t>
      </w:r>
      <w:r w:rsidR="00A248C4">
        <w:t xml:space="preserve">the SNP </w:t>
      </w:r>
      <w:r w:rsidR="0000075B">
        <w:t>s</w:t>
      </w:r>
      <w:r w:rsidR="00A248C4">
        <w:t>hifted its strategic demand to Single Market membership</w:t>
      </w:r>
      <w:r w:rsidR="00D9357F">
        <w:t xml:space="preserve">. </w:t>
      </w:r>
      <w:r w:rsidR="00A248C4">
        <w:t xml:space="preserve"> </w:t>
      </w:r>
      <w:r w:rsidR="0000075B">
        <w:t>Economically, this</w:t>
      </w:r>
      <w:r w:rsidR="00D9357F">
        <w:t xml:space="preserve"> suited the Edinburgh financial sector in terms of access to </w:t>
      </w:r>
      <w:r w:rsidR="00D9357F">
        <w:lastRenderedPageBreak/>
        <w:t>EU markets</w:t>
      </w:r>
      <w:r w:rsidR="00F813A1">
        <w:t xml:space="preserve">. </w:t>
      </w:r>
      <w:r w:rsidR="00DB6291">
        <w:t>I</w:t>
      </w:r>
      <w:r w:rsidR="00D9357F">
        <w:t xml:space="preserve">n terms of labour supply, </w:t>
      </w:r>
      <w:r w:rsidR="00F813A1">
        <w:t xml:space="preserve">it </w:t>
      </w:r>
      <w:r w:rsidR="00DB6291">
        <w:t xml:space="preserve">also </w:t>
      </w:r>
      <w:r w:rsidR="00F813A1">
        <w:t xml:space="preserve">matched the needs </w:t>
      </w:r>
      <w:r w:rsidR="0000075B">
        <w:t>the</w:t>
      </w:r>
      <w:r w:rsidR="00D9357F">
        <w:t xml:space="preserve"> firms in agribusiness, fish proc</w:t>
      </w:r>
      <w:r w:rsidR="00421A13">
        <w:t>essing and construction which rely</w:t>
      </w:r>
      <w:r w:rsidR="00D9357F">
        <w:t xml:space="preserve"> </w:t>
      </w:r>
      <w:r w:rsidR="0000075B">
        <w:t xml:space="preserve">on </w:t>
      </w:r>
      <w:r w:rsidR="00D9357F">
        <w:t xml:space="preserve">low paid staff willing to work in remote locations. </w:t>
      </w:r>
      <w:r w:rsidR="0000075B">
        <w:t xml:space="preserve"> Politically, as we have seen, it enabled the SNP to </w:t>
      </w:r>
      <w:r w:rsidR="00D83DFD">
        <w:t>pose</w:t>
      </w:r>
      <w:r w:rsidR="0000075B">
        <w:t xml:space="preserve"> as power-brokers on the British and European stage.  </w:t>
      </w:r>
      <w:r w:rsidR="00D025A9">
        <w:t xml:space="preserve">And in terms of policy options it corresponded closely with existing SNP thinking.  Scotland would be free to expand its tax incentives for external corporate investors.  </w:t>
      </w:r>
    </w:p>
    <w:p w:rsidR="00EA6459" w:rsidRDefault="00EA6459" w:rsidP="00251417">
      <w:pPr>
        <w:pStyle w:val="NoSpacing"/>
      </w:pPr>
    </w:p>
    <w:p w:rsidR="00480EB0" w:rsidRDefault="00EA6459" w:rsidP="00251417">
      <w:pPr>
        <w:pStyle w:val="NoSpacing"/>
      </w:pPr>
      <w:r>
        <w:t xml:space="preserve">However, in electoral terms in Scotland it did not work.  Nationalist fundamentalists were not satisfied.  Those who voted Yes in 2014 in protest against social exclusion and poverty saw the SNP </w:t>
      </w:r>
      <w:r w:rsidR="00480EB0">
        <w:t xml:space="preserve">government dallying </w:t>
      </w:r>
      <w:r>
        <w:t>with</w:t>
      </w:r>
      <w:r w:rsidR="00480EB0">
        <w:t xml:space="preserve"> </w:t>
      </w:r>
      <w:r>
        <w:t xml:space="preserve">remote </w:t>
      </w:r>
      <w:r w:rsidR="00421A13">
        <w:t>office holders in</w:t>
      </w:r>
      <w:r>
        <w:t xml:space="preserve"> the EU </w:t>
      </w:r>
      <w:r w:rsidR="00480EB0">
        <w:t xml:space="preserve">at the same time as it was enforcing a further year of austerity and refusing to use its own tax raising powers. </w:t>
      </w:r>
      <w:r w:rsidR="003D3F15">
        <w:t>Politically, at that moment, t</w:t>
      </w:r>
      <w:r w:rsidR="00FF7DA9">
        <w:t xml:space="preserve">he opportunity </w:t>
      </w:r>
      <w:r w:rsidR="005146A6">
        <w:t xml:space="preserve">existed </w:t>
      </w:r>
      <w:r w:rsidR="00FF7DA9">
        <w:t xml:space="preserve">for </w:t>
      </w:r>
      <w:r w:rsidR="003D3F15">
        <w:t>a restoration of class-based allegiances</w:t>
      </w:r>
      <w:r w:rsidR="005146A6">
        <w:t>.</w:t>
      </w:r>
      <w:r w:rsidR="00FF7DA9">
        <w:t xml:space="preserve"> </w:t>
      </w:r>
      <w:r>
        <w:t xml:space="preserve"> </w:t>
      </w:r>
      <w:r w:rsidR="00421A13">
        <w:t>Yet t</w:t>
      </w:r>
      <w:r w:rsidR="00480EB0">
        <w:t>ragically, the Scottish Labour leadership failed to use the weapon it had to hand</w:t>
      </w:r>
      <w:r w:rsidR="00421A13">
        <w:t>:</w:t>
      </w:r>
      <w:r w:rsidR="00480EB0">
        <w:t xml:space="preserve"> the radical economic demands of the Labour Manifesto</w:t>
      </w:r>
      <w:r w:rsidR="00421A13">
        <w:t>. T</w:t>
      </w:r>
      <w:r w:rsidR="00480EB0">
        <w:t>he result was,</w:t>
      </w:r>
      <w:r w:rsidR="006114F4">
        <w:t xml:space="preserve"> particularly </w:t>
      </w:r>
      <w:r w:rsidR="00480EB0">
        <w:t>in working class areas, abstention rather than a major swing to Labour.</w:t>
      </w:r>
      <w:r w:rsidR="00421A13">
        <w:t xml:space="preserve">  </w:t>
      </w:r>
      <w:r w:rsidR="006114F4">
        <w:t>As against Britain as a whole</w:t>
      </w:r>
      <w:r w:rsidR="00126639">
        <w:t>,</w:t>
      </w:r>
      <w:bookmarkStart w:id="0" w:name="_GoBack"/>
      <w:bookmarkEnd w:id="0"/>
      <w:r w:rsidR="006114F4">
        <w:t xml:space="preserve"> where voter turn-out rose from 66.1 per cent to 68.7 per cent, in Scotland it fell from 71.1 per cent to 66.4 per cent.</w:t>
      </w:r>
    </w:p>
    <w:p w:rsidR="00421A13" w:rsidRDefault="00421A13" w:rsidP="00251417">
      <w:pPr>
        <w:pStyle w:val="NoSpacing"/>
      </w:pPr>
    </w:p>
    <w:p w:rsidR="00980719" w:rsidRDefault="00E17A3C" w:rsidP="00251417">
      <w:pPr>
        <w:pStyle w:val="NoSpacing"/>
      </w:pPr>
      <w:r>
        <w:t xml:space="preserve">The key demands of the </w:t>
      </w:r>
      <w:r w:rsidR="00FF7DA9">
        <w:t>Labour m</w:t>
      </w:r>
      <w:r>
        <w:t>anifesto do not need rehearsing for the present audience.  But they do closely match the actual needs of the Scottish economy – as they do</w:t>
      </w:r>
      <w:r w:rsidR="00F8386D">
        <w:t xml:space="preserve"> also</w:t>
      </w:r>
      <w:r>
        <w:t xml:space="preserve"> for struggling regional economies </w:t>
      </w:r>
      <w:r w:rsidR="00980719">
        <w:t>elsewhere in</w:t>
      </w:r>
      <w:r>
        <w:t xml:space="preserve"> Britain</w:t>
      </w:r>
      <w:r w:rsidR="00A2615F">
        <w:t>. They</w:t>
      </w:r>
      <w:r>
        <w:t xml:space="preserve"> provide a range of interventions to challenge the crisis of private sector investment</w:t>
      </w:r>
      <w:r w:rsidR="003D3F15">
        <w:t>, de-industrialisation and arbitrary corporate closure</w:t>
      </w:r>
      <w:r w:rsidR="00F8386D">
        <w:t>.  P</w:t>
      </w:r>
      <w:r>
        <w:t xml:space="preserve">ublic ownership is </w:t>
      </w:r>
      <w:r w:rsidR="00A2615F">
        <w:t>one.  Strategically as important are the proposals for a public sector investment bank that can use pension savings for long-term investment – both helping to de</w:t>
      </w:r>
      <w:r w:rsidR="00F8386D">
        <w:t>-</w:t>
      </w:r>
      <w:r w:rsidR="00A2615F">
        <w:t xml:space="preserve">financialise our economy and resolve the productivity </w:t>
      </w:r>
      <w:proofErr w:type="gramStart"/>
      <w:r w:rsidR="00A2615F">
        <w:t>crisis.</w:t>
      </w:r>
      <w:proofErr w:type="gramEnd"/>
      <w:r w:rsidR="00A2615F">
        <w:t xml:space="preserve">  Equally important </w:t>
      </w:r>
      <w:r w:rsidR="00F8386D">
        <w:t xml:space="preserve">for creating locally-concentrated centres of expertise </w:t>
      </w:r>
      <w:r w:rsidR="00980719">
        <w:t>are</w:t>
      </w:r>
      <w:r w:rsidR="00A2615F">
        <w:t xml:space="preserve"> the proposal</w:t>
      </w:r>
      <w:r w:rsidR="00980719">
        <w:t>s to restore the ability of local governments to run their own services and for regions and nations</w:t>
      </w:r>
      <w:r w:rsidR="00A2615F">
        <w:t xml:space="preserve"> to use public procurement </w:t>
      </w:r>
      <w:r w:rsidR="00980719">
        <w:t xml:space="preserve">strategically to ensure support for industrial development – in, for instance, the production of structural steel for infrastructure renewal or medical products for the NHS.  </w:t>
      </w:r>
      <w:r w:rsidR="00F8386D">
        <w:t>Not least</w:t>
      </w:r>
      <w:r w:rsidR="002E0909">
        <w:t>,</w:t>
      </w:r>
      <w:r w:rsidR="00F8386D">
        <w:t xml:space="preserve"> the Manifesto proposes </w:t>
      </w:r>
      <w:r w:rsidR="003D3F15">
        <w:t>the re-establishment of comprehensive sectoral bargaining – also using state procurement as a bargaining tool – to ensure that the collective power of the trade union movement can be exercise economically at industry level.</w:t>
      </w:r>
      <w:r w:rsidR="002E0909">
        <w:t xml:space="preserve">  In Scotland itself a welcome recent development</w:t>
      </w:r>
      <w:r w:rsidR="00DB6291">
        <w:t>, in July 2017,</w:t>
      </w:r>
      <w:r w:rsidR="002E0909">
        <w:t xml:space="preserve"> has been the publication of a Scottish Labour industrial strategy that incorporates some of these proposals.</w:t>
      </w:r>
      <w:r w:rsidR="002E0909">
        <w:rPr>
          <w:rStyle w:val="EndnoteReference"/>
        </w:rPr>
        <w:endnoteReference w:id="15"/>
      </w:r>
    </w:p>
    <w:p w:rsidR="00F8386D" w:rsidRDefault="00F8386D" w:rsidP="00251417">
      <w:pPr>
        <w:pStyle w:val="NoSpacing"/>
      </w:pPr>
    </w:p>
    <w:p w:rsidR="003D3F15" w:rsidRDefault="002E0909" w:rsidP="00251417">
      <w:pPr>
        <w:pStyle w:val="NoSpacing"/>
      </w:pPr>
      <w:r>
        <w:t xml:space="preserve">However, very few of them </w:t>
      </w:r>
      <w:r w:rsidR="00E534E9">
        <w:t>would be feasible within the</w:t>
      </w:r>
      <w:r>
        <w:t xml:space="preserve"> EU</w:t>
      </w:r>
      <w:r w:rsidR="00E534E9">
        <w:t xml:space="preserve"> Single Market</w:t>
      </w:r>
      <w:r w:rsidR="00F8386D">
        <w:t xml:space="preserve">.  They run directly counter to its neo-liberal regulations for Competition and Procurement, its ban on State Aid and its prohibition of any form of comprehensive public ownership for postal services, energy and transport.  </w:t>
      </w:r>
      <w:r w:rsidR="00870507">
        <w:t xml:space="preserve">They would also be fatally vulnerable to the State Investor Dispute clauses incorporated in all recent EU trade treaties including CETA. </w:t>
      </w:r>
      <w:r w:rsidR="00F8386D">
        <w:t>This</w:t>
      </w:r>
      <w:r w:rsidR="00E534E9">
        <w:t xml:space="preserve"> is why the Labour Manifesto, in recognising the result of the EU referendum, stresses </w:t>
      </w:r>
      <w:r w:rsidR="003D3F15">
        <w:t xml:space="preserve">its commitment to securing </w:t>
      </w:r>
      <w:r w:rsidR="00E534E9">
        <w:t>access to</w:t>
      </w:r>
      <w:r w:rsidR="006D66C9">
        <w:t>,</w:t>
      </w:r>
      <w:r w:rsidR="00E534E9">
        <w:t xml:space="preserve"> but not membership of</w:t>
      </w:r>
      <w:r w:rsidR="006D66C9">
        <w:t>,</w:t>
      </w:r>
      <w:r w:rsidR="00E534E9">
        <w:t xml:space="preserve"> the EU Single Market.  </w:t>
      </w:r>
    </w:p>
    <w:p w:rsidR="003D3F15" w:rsidRDefault="003D3F15" w:rsidP="00251417">
      <w:pPr>
        <w:pStyle w:val="NoSpacing"/>
      </w:pPr>
    </w:p>
    <w:p w:rsidR="002E0909" w:rsidRDefault="003D3F15" w:rsidP="00251417">
      <w:pPr>
        <w:pStyle w:val="NoSpacing"/>
      </w:pPr>
      <w:r>
        <w:t>T</w:t>
      </w:r>
      <w:r w:rsidR="002442A9">
        <w:t xml:space="preserve">he SNP’s advocacy of the Single Market </w:t>
      </w:r>
      <w:r w:rsidR="00727DBC">
        <w:t>is in part, as we have seen, a way of asserting political leadership on a</w:t>
      </w:r>
      <w:r w:rsidR="00A63A2B">
        <w:t xml:space="preserve"> wider</w:t>
      </w:r>
      <w:r w:rsidR="00727DBC">
        <w:t xml:space="preserve"> international stage.  But it </w:t>
      </w:r>
      <w:r w:rsidR="00A63A2B">
        <w:t>also matches, and provides legitimacy for, the SNP’s economic policies.  These policies for its past eight years</w:t>
      </w:r>
      <w:r w:rsidR="00FC1E17">
        <w:t xml:space="preserve"> in</w:t>
      </w:r>
      <w:r w:rsidR="00A63A2B">
        <w:t xml:space="preserve"> government have been neo-liberal</w:t>
      </w:r>
      <w:r w:rsidR="00870507">
        <w:t>.  I</w:t>
      </w:r>
      <w:r w:rsidR="00A63A2B">
        <w:t xml:space="preserve">ts </w:t>
      </w:r>
      <w:r w:rsidR="00FC1E17">
        <w:t>p</w:t>
      </w:r>
      <w:r w:rsidR="00A63A2B">
        <w:t xml:space="preserve">roposals for a future ‘more independent’ Scotland are equally so. </w:t>
      </w:r>
      <w:r w:rsidR="00BC6729">
        <w:t>As we have noted, s</w:t>
      </w:r>
      <w:r w:rsidR="00870507">
        <w:t>imply welcoming corporate capital on its own terms</w:t>
      </w:r>
      <w:r w:rsidR="00A74AC3">
        <w:t>, and providing tax incentives to do so,</w:t>
      </w:r>
      <w:r w:rsidR="00870507">
        <w:t xml:space="preserve"> can only worsen </w:t>
      </w:r>
      <w:r w:rsidR="00FC1E17">
        <w:t xml:space="preserve">the now very serious problems facing the Scottish economy.  </w:t>
      </w:r>
    </w:p>
    <w:p w:rsidR="002E0909" w:rsidRDefault="002E0909" w:rsidP="00251417">
      <w:pPr>
        <w:pStyle w:val="NoSpacing"/>
      </w:pPr>
    </w:p>
    <w:p w:rsidR="002442A9" w:rsidRDefault="00A74AC3" w:rsidP="00251417">
      <w:pPr>
        <w:pStyle w:val="NoSpacing"/>
      </w:pPr>
      <w:r>
        <w:t xml:space="preserve">By contrast, </w:t>
      </w:r>
      <w:r w:rsidR="00FC1E17">
        <w:t xml:space="preserve">Labour’s </w:t>
      </w:r>
      <w:r w:rsidR="002E0909">
        <w:t xml:space="preserve">manifesto is about </w:t>
      </w:r>
      <w:r w:rsidR="00BC6729">
        <w:t xml:space="preserve">reasserting popular </w:t>
      </w:r>
      <w:r w:rsidR="002E0909">
        <w:t>control</w:t>
      </w:r>
      <w:r w:rsidR="00BD6FD8">
        <w:t xml:space="preserve"> - sufficiently radical, it would seem, to precipitate one further convulsion in Caledonian </w:t>
      </w:r>
      <w:proofErr w:type="spellStart"/>
      <w:r w:rsidR="00BD6FD8">
        <w:t>antisyzygy</w:t>
      </w:r>
      <w:proofErr w:type="spellEnd"/>
      <w:r w:rsidR="00BD6FD8">
        <w:t xml:space="preserve">.  </w:t>
      </w:r>
    </w:p>
    <w:p w:rsidR="00D83DFD" w:rsidRDefault="00D83DFD" w:rsidP="00251417">
      <w:pPr>
        <w:pStyle w:val="NoSpacing"/>
      </w:pPr>
    </w:p>
    <w:p w:rsidR="00CB2AD1" w:rsidRDefault="00CB2AD1" w:rsidP="00251417">
      <w:pPr>
        <w:pStyle w:val="NoSpacing"/>
      </w:pPr>
    </w:p>
    <w:p w:rsidR="00CB2AD1" w:rsidRDefault="00CB2AD1" w:rsidP="00251417">
      <w:pPr>
        <w:pStyle w:val="NoSpacing"/>
      </w:pPr>
    </w:p>
    <w:sectPr w:rsidR="00CB2AD1">
      <w:footerReference w:type="default" r:id="rId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70" w:rsidRDefault="00363370" w:rsidP="003F0F20">
      <w:pPr>
        <w:spacing w:after="0" w:line="240" w:lineRule="auto"/>
      </w:pPr>
      <w:r>
        <w:separator/>
      </w:r>
    </w:p>
  </w:endnote>
  <w:endnote w:type="continuationSeparator" w:id="0">
    <w:p w:rsidR="00363370" w:rsidRDefault="00363370" w:rsidP="003F0F20">
      <w:pPr>
        <w:spacing w:after="0" w:line="240" w:lineRule="auto"/>
      </w:pPr>
      <w:r>
        <w:continuationSeparator/>
      </w:r>
    </w:p>
  </w:endnote>
  <w:endnote w:id="1">
    <w:p w:rsidR="00DD76A2" w:rsidRPr="00DD76A2" w:rsidRDefault="00DD76A2" w:rsidP="00DD76A2">
      <w:pPr>
        <w:pStyle w:val="NoSpacing"/>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http://natcen.ac.uk/media/1361407/ssa16-2fr8m-1ndyref-2-1ndyr8f-tw0-two.pdf</w:t>
      </w:r>
    </w:p>
  </w:endnote>
  <w:endnote w:id="2">
    <w:p w:rsidR="00DD76A2" w:rsidRPr="00DD76A2" w:rsidRDefault="00DD76A2" w:rsidP="00DD76A2">
      <w:pPr>
        <w:pStyle w:val="NoSpacing"/>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w:t>
      </w:r>
      <w:r w:rsidRPr="00DD76A2">
        <w:rPr>
          <w:rFonts w:ascii="Gill Sans MT" w:eastAsia="Calibri" w:hAnsi="Gill Sans MT" w:cs="Times New Roman"/>
          <w:sz w:val="18"/>
          <w:szCs w:val="18"/>
        </w:rPr>
        <w:t>House of Commons research paper 14/50 Scottish Independence Referendum 2014.</w:t>
      </w:r>
    </w:p>
  </w:endnote>
  <w:endnote w:id="3">
    <w:p w:rsidR="00DD76A2" w:rsidRPr="00DD76A2" w:rsidRDefault="00DD76A2" w:rsidP="00DD76A2">
      <w:pPr>
        <w:pStyle w:val="NoSpacing"/>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Scottish Centre for Social Research: Paper June 2014 </w:t>
      </w:r>
      <w:hyperlink r:id="rId1" w:tgtFrame="_blank" w:history="1">
        <w:r w:rsidRPr="00DD76A2">
          <w:rPr>
            <w:rStyle w:val="Hyperlink"/>
            <w:rFonts w:ascii="Gill Sans MT" w:eastAsia="Times New Roman" w:hAnsi="Gill Sans MT" w:cs="Helvetica"/>
            <w:color w:val="196AD4"/>
            <w:sz w:val="18"/>
            <w:szCs w:val="18"/>
            <w:lang w:eastAsia="en-GB"/>
          </w:rPr>
          <w:t>http://whatscotlandthinks.org/ssa</w:t>
        </w:r>
      </w:hyperlink>
    </w:p>
  </w:endnote>
  <w:endnote w:id="4">
    <w:p w:rsidR="00DD76A2" w:rsidRPr="00DD76A2" w:rsidRDefault="00DD76A2" w:rsidP="00DD76A2">
      <w:pPr>
        <w:pStyle w:val="NoSpacing"/>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w:t>
      </w:r>
      <w:r w:rsidRPr="00DD76A2">
        <w:rPr>
          <w:rFonts w:ascii="Gill Sans MT" w:eastAsia="Calibri" w:hAnsi="Gill Sans MT" w:cs="Times New Roman"/>
          <w:sz w:val="18"/>
          <w:szCs w:val="18"/>
        </w:rPr>
        <w:t xml:space="preserve">Research report by Dr Craig </w:t>
      </w:r>
      <w:proofErr w:type="spellStart"/>
      <w:r w:rsidRPr="00DD76A2">
        <w:rPr>
          <w:rFonts w:ascii="Gill Sans MT" w:eastAsia="Calibri" w:hAnsi="Gill Sans MT" w:cs="Times New Roman"/>
          <w:sz w:val="18"/>
          <w:szCs w:val="18"/>
        </w:rPr>
        <w:t>McAngus</w:t>
      </w:r>
      <w:proofErr w:type="spellEnd"/>
      <w:r w:rsidRPr="00DD76A2">
        <w:rPr>
          <w:rFonts w:ascii="Gill Sans MT" w:eastAsia="Calibri" w:hAnsi="Gill Sans MT" w:cs="Times New Roman"/>
          <w:sz w:val="18"/>
          <w:szCs w:val="18"/>
        </w:rPr>
        <w:t xml:space="preserve"> at the Centre on Constitutional Change, Stirling University http://www.centreonconstitutionalchange.ac.uk/blog/step-left</w:t>
      </w:r>
    </w:p>
  </w:endnote>
  <w:endnote w:id="5">
    <w:p w:rsidR="00DD76A2" w:rsidRPr="00DD76A2" w:rsidRDefault="00DD76A2" w:rsidP="00DD76A2">
      <w:pPr>
        <w:pStyle w:val="NoSpacing"/>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http://lordashcroftpolls.com/2016/06/how-the-united-kingdom-voted-and-why/</w:t>
      </w:r>
    </w:p>
  </w:endnote>
  <w:endnote w:id="6">
    <w:p w:rsidR="00DD76A2" w:rsidRPr="00DD76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w:t>
      </w:r>
      <w:r w:rsidRPr="00DD76A2">
        <w:rPr>
          <w:rFonts w:ascii="Gill Sans MT" w:hAnsi="Gill Sans MT"/>
          <w:i/>
          <w:sz w:val="18"/>
          <w:szCs w:val="18"/>
        </w:rPr>
        <w:t xml:space="preserve">Fraser of </w:t>
      </w:r>
      <w:proofErr w:type="spellStart"/>
      <w:r w:rsidRPr="00DD76A2">
        <w:rPr>
          <w:rFonts w:ascii="Gill Sans MT" w:hAnsi="Gill Sans MT"/>
          <w:i/>
          <w:sz w:val="18"/>
          <w:szCs w:val="18"/>
        </w:rPr>
        <w:t>Allander</w:t>
      </w:r>
      <w:proofErr w:type="spellEnd"/>
      <w:r w:rsidRPr="00DD76A2">
        <w:rPr>
          <w:rFonts w:ascii="Gill Sans MT" w:hAnsi="Gill Sans MT"/>
          <w:i/>
          <w:sz w:val="18"/>
          <w:szCs w:val="18"/>
        </w:rPr>
        <w:t xml:space="preserve"> Economic Commentary</w:t>
      </w:r>
      <w:r w:rsidRPr="00DD76A2">
        <w:rPr>
          <w:rFonts w:ascii="Gill Sans MT" w:hAnsi="Gill Sans MT"/>
          <w:sz w:val="18"/>
          <w:szCs w:val="18"/>
        </w:rPr>
        <w:t>, Vol. 41</w:t>
      </w:r>
      <w:r>
        <w:rPr>
          <w:rFonts w:ascii="Gill Sans MT" w:hAnsi="Gill Sans MT"/>
          <w:sz w:val="18"/>
          <w:szCs w:val="18"/>
        </w:rPr>
        <w:t>,</w:t>
      </w:r>
      <w:r w:rsidRPr="00DD76A2">
        <w:rPr>
          <w:rFonts w:ascii="Gill Sans MT" w:hAnsi="Gill Sans MT"/>
          <w:sz w:val="18"/>
          <w:szCs w:val="18"/>
        </w:rPr>
        <w:t xml:space="preserve"> No 2.</w:t>
      </w:r>
    </w:p>
  </w:endnote>
  <w:endnote w:id="7">
    <w:p w:rsidR="00DD76A2" w:rsidRPr="008E29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w:t>
      </w:r>
      <w:proofErr w:type="gramStart"/>
      <w:r w:rsidRPr="00DD76A2">
        <w:rPr>
          <w:rFonts w:ascii="Gill Sans MT" w:hAnsi="Gill Sans MT"/>
          <w:sz w:val="18"/>
          <w:szCs w:val="18"/>
        </w:rPr>
        <w:t xml:space="preserve">Kenny Richmond and others, ‘Scotland’s Business Investment Performance, </w:t>
      </w:r>
      <w:r w:rsidRPr="00DD76A2">
        <w:rPr>
          <w:rFonts w:ascii="Gill Sans MT" w:hAnsi="Gill Sans MT"/>
          <w:i/>
          <w:sz w:val="18"/>
          <w:szCs w:val="18"/>
        </w:rPr>
        <w:t xml:space="preserve">Fraser of </w:t>
      </w:r>
      <w:proofErr w:type="spellStart"/>
      <w:r w:rsidRPr="00DD76A2">
        <w:rPr>
          <w:rFonts w:ascii="Gill Sans MT" w:hAnsi="Gill Sans MT"/>
          <w:i/>
          <w:sz w:val="18"/>
          <w:szCs w:val="18"/>
        </w:rPr>
        <w:t>Allander</w:t>
      </w:r>
      <w:proofErr w:type="spellEnd"/>
      <w:r w:rsidRPr="00DD76A2">
        <w:rPr>
          <w:rFonts w:ascii="Gill Sans MT" w:hAnsi="Gill Sans MT"/>
          <w:i/>
          <w:sz w:val="18"/>
          <w:szCs w:val="18"/>
        </w:rPr>
        <w:t xml:space="preserve"> Economic Commentary</w:t>
      </w:r>
      <w:r w:rsidRPr="00DD76A2">
        <w:rPr>
          <w:rFonts w:ascii="Gill Sans MT" w:hAnsi="Gill Sans MT"/>
          <w:sz w:val="18"/>
          <w:szCs w:val="18"/>
        </w:rPr>
        <w:t xml:space="preserve">, Vol. </w:t>
      </w:r>
      <w:r w:rsidRPr="008E29A2">
        <w:rPr>
          <w:rFonts w:ascii="Gill Sans MT" w:hAnsi="Gill Sans MT"/>
          <w:sz w:val="18"/>
          <w:szCs w:val="18"/>
        </w:rPr>
        <w:t>41.</w:t>
      </w:r>
      <w:proofErr w:type="gramEnd"/>
      <w:r w:rsidRPr="008E29A2">
        <w:rPr>
          <w:rFonts w:ascii="Gill Sans MT" w:hAnsi="Gill Sans MT"/>
          <w:sz w:val="18"/>
          <w:szCs w:val="18"/>
        </w:rPr>
        <w:t xml:space="preserve"> 1; Bank of England, </w:t>
      </w:r>
      <w:r w:rsidRPr="008E29A2">
        <w:rPr>
          <w:rFonts w:ascii="Gill Sans MT" w:hAnsi="Gill Sans MT"/>
          <w:i/>
          <w:sz w:val="18"/>
          <w:szCs w:val="18"/>
        </w:rPr>
        <w:t xml:space="preserve">Who Owns a </w:t>
      </w:r>
      <w:proofErr w:type="gramStart"/>
      <w:r w:rsidRPr="008E29A2">
        <w:rPr>
          <w:rFonts w:ascii="Gill Sans MT" w:hAnsi="Gill Sans MT"/>
          <w:i/>
          <w:sz w:val="18"/>
          <w:szCs w:val="18"/>
        </w:rPr>
        <w:t>Company ?</w:t>
      </w:r>
      <w:proofErr w:type="gramEnd"/>
      <w:r w:rsidRPr="008E29A2">
        <w:rPr>
          <w:rFonts w:ascii="Gill Sans MT" w:hAnsi="Gill Sans MT"/>
          <w:i/>
          <w:sz w:val="18"/>
          <w:szCs w:val="18"/>
        </w:rPr>
        <w:t>,</w:t>
      </w:r>
      <w:r w:rsidRPr="008E29A2">
        <w:rPr>
          <w:rFonts w:ascii="Gill Sans MT" w:hAnsi="Gill Sans MT"/>
          <w:sz w:val="18"/>
          <w:szCs w:val="18"/>
        </w:rPr>
        <w:t xml:space="preserve"> 2015.</w:t>
      </w:r>
    </w:p>
  </w:endnote>
  <w:endnote w:id="8">
    <w:p w:rsidR="008E29A2" w:rsidRPr="008E29A2" w:rsidRDefault="008E29A2">
      <w:pPr>
        <w:pStyle w:val="EndnoteText"/>
        <w:rPr>
          <w:rFonts w:ascii="Gill Sans MT" w:hAnsi="Gill Sans MT"/>
          <w:sz w:val="18"/>
          <w:szCs w:val="18"/>
        </w:rPr>
      </w:pPr>
      <w:r w:rsidRPr="008E29A2">
        <w:rPr>
          <w:rStyle w:val="EndnoteReference"/>
          <w:rFonts w:ascii="Gill Sans MT" w:hAnsi="Gill Sans MT"/>
          <w:sz w:val="18"/>
          <w:szCs w:val="18"/>
        </w:rPr>
        <w:endnoteRef/>
      </w:r>
      <w:r w:rsidRPr="008E29A2">
        <w:rPr>
          <w:rFonts w:ascii="Gill Sans MT" w:hAnsi="Gill Sans MT"/>
          <w:sz w:val="18"/>
          <w:szCs w:val="18"/>
        </w:rPr>
        <w:t xml:space="preserve"> John Foster, </w:t>
      </w:r>
      <w:r>
        <w:rPr>
          <w:rFonts w:ascii="Gill Sans MT" w:hAnsi="Gill Sans MT"/>
          <w:sz w:val="18"/>
          <w:szCs w:val="18"/>
        </w:rPr>
        <w:t>‘</w:t>
      </w:r>
      <w:r w:rsidRPr="008E29A2">
        <w:rPr>
          <w:rFonts w:ascii="Gill Sans MT" w:hAnsi="Gill Sans MT"/>
          <w:sz w:val="18"/>
          <w:szCs w:val="18"/>
        </w:rPr>
        <w:t xml:space="preserve">Planning for Scotland’s Economic Future’, </w:t>
      </w:r>
      <w:r w:rsidRPr="008E29A2">
        <w:rPr>
          <w:rFonts w:ascii="Gill Sans MT" w:hAnsi="Gill Sans MT"/>
          <w:i/>
          <w:sz w:val="18"/>
          <w:szCs w:val="18"/>
        </w:rPr>
        <w:t>Progressive Federalism</w:t>
      </w:r>
      <w:r w:rsidRPr="008E29A2">
        <w:rPr>
          <w:rFonts w:ascii="Gill Sans MT" w:hAnsi="Gill Sans MT"/>
          <w:sz w:val="18"/>
          <w:szCs w:val="18"/>
        </w:rPr>
        <w:t>, ed. Pauline Bryan, Red Paper Collective, 2017</w:t>
      </w:r>
    </w:p>
  </w:endnote>
  <w:endnote w:id="9">
    <w:p w:rsidR="00DD76A2" w:rsidRPr="00DD76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w:t>
      </w:r>
      <w:proofErr w:type="gramStart"/>
      <w:r w:rsidRPr="00DD76A2">
        <w:rPr>
          <w:rFonts w:ascii="Gill Sans MT" w:hAnsi="Gill Sans MT"/>
          <w:sz w:val="18"/>
          <w:szCs w:val="18"/>
        </w:rPr>
        <w:t>Jonathan Slow</w:t>
      </w:r>
      <w:r w:rsidR="008E29A2">
        <w:rPr>
          <w:rFonts w:ascii="Gill Sans MT" w:hAnsi="Gill Sans MT"/>
          <w:sz w:val="18"/>
          <w:szCs w:val="18"/>
        </w:rPr>
        <w:t xml:space="preserve"> </w:t>
      </w:r>
      <w:r w:rsidRPr="00DD76A2">
        <w:rPr>
          <w:rFonts w:ascii="Gill Sans MT" w:hAnsi="Gill Sans MT"/>
          <w:sz w:val="18"/>
          <w:szCs w:val="18"/>
        </w:rPr>
        <w:t xml:space="preserve">and others, ‘Scotland’s Export Performance’, </w:t>
      </w:r>
      <w:r w:rsidRPr="008E29A2">
        <w:rPr>
          <w:rFonts w:ascii="Gill Sans MT" w:hAnsi="Gill Sans MT"/>
          <w:i/>
          <w:sz w:val="18"/>
          <w:szCs w:val="18"/>
        </w:rPr>
        <w:t xml:space="preserve">Fraser of </w:t>
      </w:r>
      <w:proofErr w:type="spellStart"/>
      <w:r w:rsidRPr="008E29A2">
        <w:rPr>
          <w:rFonts w:ascii="Gill Sans MT" w:hAnsi="Gill Sans MT"/>
          <w:i/>
          <w:sz w:val="18"/>
          <w:szCs w:val="18"/>
        </w:rPr>
        <w:t>Allander</w:t>
      </w:r>
      <w:proofErr w:type="spellEnd"/>
      <w:r w:rsidRPr="008E29A2">
        <w:rPr>
          <w:rFonts w:ascii="Gill Sans MT" w:hAnsi="Gill Sans MT"/>
          <w:i/>
          <w:sz w:val="18"/>
          <w:szCs w:val="18"/>
        </w:rPr>
        <w:t xml:space="preserve"> </w:t>
      </w:r>
      <w:r w:rsidR="008E29A2" w:rsidRPr="008E29A2">
        <w:rPr>
          <w:rFonts w:ascii="Gill Sans MT" w:hAnsi="Gill Sans MT"/>
          <w:i/>
          <w:sz w:val="18"/>
          <w:szCs w:val="18"/>
        </w:rPr>
        <w:t>Economic</w:t>
      </w:r>
      <w:r w:rsidR="008E29A2">
        <w:rPr>
          <w:rFonts w:ascii="Gill Sans MT" w:hAnsi="Gill Sans MT"/>
          <w:sz w:val="18"/>
          <w:szCs w:val="18"/>
        </w:rPr>
        <w:t xml:space="preserve"> </w:t>
      </w:r>
      <w:r w:rsidRPr="008E29A2">
        <w:rPr>
          <w:rFonts w:ascii="Gill Sans MT" w:hAnsi="Gill Sans MT"/>
          <w:i/>
          <w:sz w:val="18"/>
          <w:szCs w:val="18"/>
        </w:rPr>
        <w:t>Commentary</w:t>
      </w:r>
      <w:r w:rsidRPr="00DD76A2">
        <w:rPr>
          <w:rFonts w:ascii="Gill Sans MT" w:hAnsi="Gill Sans MT"/>
          <w:sz w:val="18"/>
          <w:szCs w:val="18"/>
        </w:rPr>
        <w:t>, Vol. 39, 2.</w:t>
      </w:r>
      <w:proofErr w:type="gramEnd"/>
    </w:p>
  </w:endnote>
  <w:endnote w:id="10">
    <w:p w:rsidR="00DD76A2" w:rsidRPr="00DD76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http://www.gmbscotland.org.uk/newsroom/economy-on-brink-of-crisis</w:t>
      </w:r>
    </w:p>
  </w:endnote>
  <w:endnote w:id="11">
    <w:p w:rsidR="00DD76A2" w:rsidRPr="00DD76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https://www.gov.uk/government/uploads/system/uploads/attachment_data/file/616966/trade-union-membership-statistical-bulletin-2016-rev.pdf</w:t>
      </w:r>
    </w:p>
  </w:endnote>
  <w:endnote w:id="12">
    <w:p w:rsidR="00DD76A2" w:rsidRPr="00DD76A2" w:rsidRDefault="00DD76A2" w:rsidP="00DD76A2">
      <w:pPr>
        <w:pStyle w:val="EndnoteText"/>
        <w:rPr>
          <w:rFonts w:ascii="Gill Sans MT" w:hAnsi="Gill Sans MT"/>
          <w:i/>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House of Commons Briefing Paper 7458, </w:t>
      </w:r>
      <w:r w:rsidRPr="00DD76A2">
        <w:rPr>
          <w:rFonts w:ascii="Gill Sans MT" w:hAnsi="Gill Sans MT"/>
          <w:i/>
          <w:sz w:val="18"/>
          <w:szCs w:val="18"/>
        </w:rPr>
        <w:t>Health and Safety Statistics, 2016</w:t>
      </w:r>
    </w:p>
  </w:endnote>
  <w:endnote w:id="13">
    <w:p w:rsidR="00DD76A2" w:rsidRPr="00DD76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Office of National Statistics, </w:t>
      </w:r>
      <w:r w:rsidRPr="00DD76A2">
        <w:rPr>
          <w:rFonts w:ascii="Gill Sans MT" w:hAnsi="Gill Sans MT"/>
          <w:i/>
          <w:sz w:val="18"/>
          <w:szCs w:val="18"/>
        </w:rPr>
        <w:t>2014-based National Population Projections: Mortality Assumptions for Scotland</w:t>
      </w:r>
    </w:p>
  </w:endnote>
  <w:endnote w:id="14">
    <w:p w:rsidR="00DD76A2" w:rsidRPr="00DD76A2" w:rsidRDefault="00DD76A2" w:rsidP="00DD76A2">
      <w:pPr>
        <w:pStyle w:val="EndnoteText"/>
        <w:rPr>
          <w:rFonts w:ascii="Gill Sans MT" w:hAnsi="Gill Sans MT"/>
          <w:sz w:val="18"/>
          <w:szCs w:val="18"/>
        </w:rPr>
      </w:pPr>
      <w:r w:rsidRPr="00DD76A2">
        <w:rPr>
          <w:rStyle w:val="EndnoteReference"/>
          <w:rFonts w:ascii="Gill Sans MT" w:hAnsi="Gill Sans MT"/>
          <w:sz w:val="18"/>
          <w:szCs w:val="18"/>
        </w:rPr>
        <w:endnoteRef/>
      </w:r>
      <w:r w:rsidRPr="00DD76A2">
        <w:rPr>
          <w:rFonts w:ascii="Gill Sans MT" w:hAnsi="Gill Sans MT"/>
          <w:sz w:val="18"/>
          <w:szCs w:val="18"/>
        </w:rPr>
        <w:t xml:space="preserve"> </w:t>
      </w:r>
      <w:proofErr w:type="gramStart"/>
      <w:r w:rsidRPr="00DD76A2">
        <w:rPr>
          <w:rFonts w:ascii="Gill Sans MT" w:hAnsi="Gill Sans MT"/>
          <w:sz w:val="18"/>
          <w:szCs w:val="18"/>
        </w:rPr>
        <w:t xml:space="preserve">National Records of Scotland, </w:t>
      </w:r>
      <w:r w:rsidRPr="00DD76A2">
        <w:rPr>
          <w:rFonts w:ascii="Gill Sans MT" w:hAnsi="Gill Sans MT"/>
          <w:i/>
          <w:sz w:val="18"/>
          <w:szCs w:val="18"/>
        </w:rPr>
        <w:t>Mortality Statistics 2015</w:t>
      </w:r>
      <w:r w:rsidRPr="00DD76A2">
        <w:rPr>
          <w:rFonts w:ascii="Gill Sans MT" w:hAnsi="Gill Sans MT"/>
          <w:sz w:val="18"/>
          <w:szCs w:val="18"/>
        </w:rPr>
        <w:t>.</w:t>
      </w:r>
      <w:proofErr w:type="gramEnd"/>
    </w:p>
  </w:endnote>
  <w:endnote w:id="15">
    <w:p w:rsidR="002E0909" w:rsidRPr="002E0909" w:rsidRDefault="002E0909">
      <w:pPr>
        <w:pStyle w:val="EndnoteText"/>
        <w:rPr>
          <w:rFonts w:ascii="Gill Sans MT" w:hAnsi="Gill Sans MT"/>
          <w:sz w:val="18"/>
          <w:szCs w:val="18"/>
        </w:rPr>
      </w:pPr>
      <w:r w:rsidRPr="002E0909">
        <w:rPr>
          <w:rStyle w:val="EndnoteReference"/>
          <w:rFonts w:ascii="Gill Sans MT" w:hAnsi="Gill Sans MT"/>
          <w:sz w:val="18"/>
          <w:szCs w:val="18"/>
        </w:rPr>
        <w:endnoteRef/>
      </w:r>
      <w:r w:rsidRPr="002E0909">
        <w:rPr>
          <w:rFonts w:ascii="Gill Sans MT" w:hAnsi="Gill Sans MT"/>
          <w:sz w:val="18"/>
          <w:szCs w:val="18"/>
        </w:rPr>
        <w:t xml:space="preserve"> http://www.scottishlabour.org.uk/page/-/Industrial%20strategy%203.pdf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36619"/>
      <w:docPartObj>
        <w:docPartGallery w:val="Page Numbers (Bottom of Page)"/>
        <w:docPartUnique/>
      </w:docPartObj>
    </w:sdtPr>
    <w:sdtEndPr>
      <w:rPr>
        <w:noProof/>
      </w:rPr>
    </w:sdtEndPr>
    <w:sdtContent>
      <w:p w:rsidR="00480EB0" w:rsidRDefault="00480EB0">
        <w:pPr>
          <w:pStyle w:val="Footer"/>
          <w:jc w:val="center"/>
        </w:pPr>
        <w:r>
          <w:fldChar w:fldCharType="begin"/>
        </w:r>
        <w:r>
          <w:instrText xml:space="preserve"> PAGE   \* MERGEFORMAT </w:instrText>
        </w:r>
        <w:r>
          <w:fldChar w:fldCharType="separate"/>
        </w:r>
        <w:r w:rsidR="00126639">
          <w:rPr>
            <w:noProof/>
          </w:rPr>
          <w:t>6</w:t>
        </w:r>
        <w:r>
          <w:rPr>
            <w:noProof/>
          </w:rPr>
          <w:fldChar w:fldCharType="end"/>
        </w:r>
      </w:p>
    </w:sdtContent>
  </w:sdt>
  <w:p w:rsidR="00480EB0" w:rsidRDefault="0048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70" w:rsidRDefault="00363370" w:rsidP="003F0F20">
      <w:pPr>
        <w:spacing w:after="0" w:line="240" w:lineRule="auto"/>
      </w:pPr>
      <w:r>
        <w:separator/>
      </w:r>
    </w:p>
  </w:footnote>
  <w:footnote w:type="continuationSeparator" w:id="0">
    <w:p w:rsidR="00363370" w:rsidRDefault="00363370" w:rsidP="003F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6DA0"/>
    <w:multiLevelType w:val="hybridMultilevel"/>
    <w:tmpl w:val="A540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ED"/>
    <w:rsid w:val="0000075B"/>
    <w:rsid w:val="00025F21"/>
    <w:rsid w:val="00027C48"/>
    <w:rsid w:val="00032BD5"/>
    <w:rsid w:val="000514FF"/>
    <w:rsid w:val="001032A8"/>
    <w:rsid w:val="00126639"/>
    <w:rsid w:val="00157C35"/>
    <w:rsid w:val="00196DED"/>
    <w:rsid w:val="001A4845"/>
    <w:rsid w:val="001C7761"/>
    <w:rsid w:val="001D348F"/>
    <w:rsid w:val="002241F0"/>
    <w:rsid w:val="002442A9"/>
    <w:rsid w:val="00251417"/>
    <w:rsid w:val="002562A0"/>
    <w:rsid w:val="002D5CEE"/>
    <w:rsid w:val="002E0909"/>
    <w:rsid w:val="00315391"/>
    <w:rsid w:val="00335DDC"/>
    <w:rsid w:val="003613AD"/>
    <w:rsid w:val="00363370"/>
    <w:rsid w:val="003633B4"/>
    <w:rsid w:val="003807EF"/>
    <w:rsid w:val="00393691"/>
    <w:rsid w:val="003A1BAD"/>
    <w:rsid w:val="003B4014"/>
    <w:rsid w:val="003D3F15"/>
    <w:rsid w:val="003E055F"/>
    <w:rsid w:val="003E4FE4"/>
    <w:rsid w:val="003F0F20"/>
    <w:rsid w:val="00414EB4"/>
    <w:rsid w:val="00421A13"/>
    <w:rsid w:val="0042358A"/>
    <w:rsid w:val="00454131"/>
    <w:rsid w:val="0047789F"/>
    <w:rsid w:val="00480EB0"/>
    <w:rsid w:val="004975B1"/>
    <w:rsid w:val="004A7BDC"/>
    <w:rsid w:val="004D1CE0"/>
    <w:rsid w:val="005146A6"/>
    <w:rsid w:val="0059010A"/>
    <w:rsid w:val="005A0552"/>
    <w:rsid w:val="005D5D28"/>
    <w:rsid w:val="005D6A08"/>
    <w:rsid w:val="006114F4"/>
    <w:rsid w:val="006318F3"/>
    <w:rsid w:val="006407A6"/>
    <w:rsid w:val="00672912"/>
    <w:rsid w:val="006A3216"/>
    <w:rsid w:val="006B370B"/>
    <w:rsid w:val="006C06C6"/>
    <w:rsid w:val="006D66C9"/>
    <w:rsid w:val="006F058F"/>
    <w:rsid w:val="007012AA"/>
    <w:rsid w:val="00720AD8"/>
    <w:rsid w:val="00727DBC"/>
    <w:rsid w:val="00776D6D"/>
    <w:rsid w:val="007871F6"/>
    <w:rsid w:val="007943E8"/>
    <w:rsid w:val="007D5AAD"/>
    <w:rsid w:val="00806AEA"/>
    <w:rsid w:val="00814B43"/>
    <w:rsid w:val="0081656B"/>
    <w:rsid w:val="00827416"/>
    <w:rsid w:val="00870507"/>
    <w:rsid w:val="00883496"/>
    <w:rsid w:val="008E29A2"/>
    <w:rsid w:val="008E3E27"/>
    <w:rsid w:val="008F6157"/>
    <w:rsid w:val="0092141B"/>
    <w:rsid w:val="00937DBF"/>
    <w:rsid w:val="009565CF"/>
    <w:rsid w:val="00980719"/>
    <w:rsid w:val="00983FA4"/>
    <w:rsid w:val="009A7209"/>
    <w:rsid w:val="009F60A4"/>
    <w:rsid w:val="00A12455"/>
    <w:rsid w:val="00A248C4"/>
    <w:rsid w:val="00A2615F"/>
    <w:rsid w:val="00A625FD"/>
    <w:rsid w:val="00A63A2B"/>
    <w:rsid w:val="00A67F02"/>
    <w:rsid w:val="00A74AC3"/>
    <w:rsid w:val="00A80084"/>
    <w:rsid w:val="00A85BDA"/>
    <w:rsid w:val="00A866A5"/>
    <w:rsid w:val="00A9484D"/>
    <w:rsid w:val="00AA4596"/>
    <w:rsid w:val="00AB2C12"/>
    <w:rsid w:val="00AD71D5"/>
    <w:rsid w:val="00AF3BDB"/>
    <w:rsid w:val="00B077DB"/>
    <w:rsid w:val="00B347F8"/>
    <w:rsid w:val="00B454DC"/>
    <w:rsid w:val="00B76331"/>
    <w:rsid w:val="00B97A5D"/>
    <w:rsid w:val="00BC15C9"/>
    <w:rsid w:val="00BC6729"/>
    <w:rsid w:val="00BD6FD8"/>
    <w:rsid w:val="00BF55EE"/>
    <w:rsid w:val="00C011E1"/>
    <w:rsid w:val="00C1018C"/>
    <w:rsid w:val="00C1229A"/>
    <w:rsid w:val="00C32D20"/>
    <w:rsid w:val="00C52AFE"/>
    <w:rsid w:val="00C718CE"/>
    <w:rsid w:val="00C97613"/>
    <w:rsid w:val="00CB2AD1"/>
    <w:rsid w:val="00CB5848"/>
    <w:rsid w:val="00CD4E7D"/>
    <w:rsid w:val="00CE3F7C"/>
    <w:rsid w:val="00CF0A9D"/>
    <w:rsid w:val="00CF3D86"/>
    <w:rsid w:val="00D025A9"/>
    <w:rsid w:val="00D033AB"/>
    <w:rsid w:val="00D30494"/>
    <w:rsid w:val="00D3362E"/>
    <w:rsid w:val="00D424B4"/>
    <w:rsid w:val="00D43594"/>
    <w:rsid w:val="00D52780"/>
    <w:rsid w:val="00D70848"/>
    <w:rsid w:val="00D73D27"/>
    <w:rsid w:val="00D83DFD"/>
    <w:rsid w:val="00D9357F"/>
    <w:rsid w:val="00DA6C46"/>
    <w:rsid w:val="00DB6291"/>
    <w:rsid w:val="00DD76A2"/>
    <w:rsid w:val="00E077A2"/>
    <w:rsid w:val="00E13F02"/>
    <w:rsid w:val="00E164AF"/>
    <w:rsid w:val="00E17A3C"/>
    <w:rsid w:val="00E441F6"/>
    <w:rsid w:val="00E534E9"/>
    <w:rsid w:val="00E54229"/>
    <w:rsid w:val="00E71505"/>
    <w:rsid w:val="00EA6459"/>
    <w:rsid w:val="00EA6890"/>
    <w:rsid w:val="00EC2E36"/>
    <w:rsid w:val="00EE4B27"/>
    <w:rsid w:val="00F12B1F"/>
    <w:rsid w:val="00F21CF9"/>
    <w:rsid w:val="00F40A5B"/>
    <w:rsid w:val="00F813A1"/>
    <w:rsid w:val="00F82A63"/>
    <w:rsid w:val="00F8386D"/>
    <w:rsid w:val="00F85C74"/>
    <w:rsid w:val="00F94010"/>
    <w:rsid w:val="00F97CB2"/>
    <w:rsid w:val="00FC1E17"/>
    <w:rsid w:val="00FE7CC5"/>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DED"/>
    <w:pPr>
      <w:spacing w:after="0" w:line="240" w:lineRule="auto"/>
    </w:pPr>
  </w:style>
  <w:style w:type="table" w:styleId="TableGrid">
    <w:name w:val="Table Grid"/>
    <w:basedOn w:val="TableNormal"/>
    <w:uiPriority w:val="39"/>
    <w:rsid w:val="0079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F20"/>
    <w:rPr>
      <w:sz w:val="20"/>
      <w:szCs w:val="20"/>
    </w:rPr>
  </w:style>
  <w:style w:type="character" w:styleId="FootnoteReference">
    <w:name w:val="footnote reference"/>
    <w:basedOn w:val="DefaultParagraphFont"/>
    <w:uiPriority w:val="99"/>
    <w:semiHidden/>
    <w:unhideWhenUsed/>
    <w:rsid w:val="003F0F20"/>
    <w:rPr>
      <w:vertAlign w:val="superscript"/>
    </w:rPr>
  </w:style>
  <w:style w:type="character" w:styleId="Hyperlink">
    <w:name w:val="Hyperlink"/>
    <w:basedOn w:val="DefaultParagraphFont"/>
    <w:uiPriority w:val="99"/>
    <w:semiHidden/>
    <w:unhideWhenUsed/>
    <w:rsid w:val="00BC15C9"/>
    <w:rPr>
      <w:color w:val="0000FF"/>
      <w:u w:val="single"/>
    </w:rPr>
  </w:style>
  <w:style w:type="paragraph" w:styleId="Header">
    <w:name w:val="header"/>
    <w:basedOn w:val="Normal"/>
    <w:link w:val="HeaderChar"/>
    <w:uiPriority w:val="99"/>
    <w:unhideWhenUsed/>
    <w:rsid w:val="00590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0A"/>
  </w:style>
  <w:style w:type="paragraph" w:styleId="Footer">
    <w:name w:val="footer"/>
    <w:basedOn w:val="Normal"/>
    <w:link w:val="FooterChar"/>
    <w:uiPriority w:val="99"/>
    <w:unhideWhenUsed/>
    <w:rsid w:val="00590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0A"/>
  </w:style>
  <w:style w:type="table" w:styleId="LightShading-Accent3">
    <w:name w:val="Light Shading Accent 3"/>
    <w:basedOn w:val="TableNormal"/>
    <w:uiPriority w:val="60"/>
    <w:rsid w:val="00F12B1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F1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1F"/>
    <w:rPr>
      <w:rFonts w:ascii="Tahoma" w:hAnsi="Tahoma" w:cs="Tahoma"/>
      <w:sz w:val="16"/>
      <w:szCs w:val="16"/>
    </w:rPr>
  </w:style>
  <w:style w:type="paragraph" w:styleId="EndnoteText">
    <w:name w:val="endnote text"/>
    <w:basedOn w:val="Normal"/>
    <w:link w:val="EndnoteTextChar"/>
    <w:uiPriority w:val="99"/>
    <w:semiHidden/>
    <w:unhideWhenUsed/>
    <w:rsid w:val="00157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C35"/>
    <w:rPr>
      <w:sz w:val="20"/>
      <w:szCs w:val="20"/>
    </w:rPr>
  </w:style>
  <w:style w:type="character" w:styleId="EndnoteReference">
    <w:name w:val="endnote reference"/>
    <w:basedOn w:val="DefaultParagraphFont"/>
    <w:uiPriority w:val="99"/>
    <w:semiHidden/>
    <w:unhideWhenUsed/>
    <w:rsid w:val="00157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DED"/>
    <w:pPr>
      <w:spacing w:after="0" w:line="240" w:lineRule="auto"/>
    </w:pPr>
  </w:style>
  <w:style w:type="table" w:styleId="TableGrid">
    <w:name w:val="Table Grid"/>
    <w:basedOn w:val="TableNormal"/>
    <w:uiPriority w:val="39"/>
    <w:rsid w:val="0079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F20"/>
    <w:rPr>
      <w:sz w:val="20"/>
      <w:szCs w:val="20"/>
    </w:rPr>
  </w:style>
  <w:style w:type="character" w:styleId="FootnoteReference">
    <w:name w:val="footnote reference"/>
    <w:basedOn w:val="DefaultParagraphFont"/>
    <w:uiPriority w:val="99"/>
    <w:semiHidden/>
    <w:unhideWhenUsed/>
    <w:rsid w:val="003F0F20"/>
    <w:rPr>
      <w:vertAlign w:val="superscript"/>
    </w:rPr>
  </w:style>
  <w:style w:type="character" w:styleId="Hyperlink">
    <w:name w:val="Hyperlink"/>
    <w:basedOn w:val="DefaultParagraphFont"/>
    <w:uiPriority w:val="99"/>
    <w:semiHidden/>
    <w:unhideWhenUsed/>
    <w:rsid w:val="00BC15C9"/>
    <w:rPr>
      <w:color w:val="0000FF"/>
      <w:u w:val="single"/>
    </w:rPr>
  </w:style>
  <w:style w:type="paragraph" w:styleId="Header">
    <w:name w:val="header"/>
    <w:basedOn w:val="Normal"/>
    <w:link w:val="HeaderChar"/>
    <w:uiPriority w:val="99"/>
    <w:unhideWhenUsed/>
    <w:rsid w:val="00590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0A"/>
  </w:style>
  <w:style w:type="paragraph" w:styleId="Footer">
    <w:name w:val="footer"/>
    <w:basedOn w:val="Normal"/>
    <w:link w:val="FooterChar"/>
    <w:uiPriority w:val="99"/>
    <w:unhideWhenUsed/>
    <w:rsid w:val="00590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0A"/>
  </w:style>
  <w:style w:type="table" w:styleId="LightShading-Accent3">
    <w:name w:val="Light Shading Accent 3"/>
    <w:basedOn w:val="TableNormal"/>
    <w:uiPriority w:val="60"/>
    <w:rsid w:val="00F12B1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F1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1F"/>
    <w:rPr>
      <w:rFonts w:ascii="Tahoma" w:hAnsi="Tahoma" w:cs="Tahoma"/>
      <w:sz w:val="16"/>
      <w:szCs w:val="16"/>
    </w:rPr>
  </w:style>
  <w:style w:type="paragraph" w:styleId="EndnoteText">
    <w:name w:val="endnote text"/>
    <w:basedOn w:val="Normal"/>
    <w:link w:val="EndnoteTextChar"/>
    <w:uiPriority w:val="99"/>
    <w:semiHidden/>
    <w:unhideWhenUsed/>
    <w:rsid w:val="00157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C35"/>
    <w:rPr>
      <w:sz w:val="20"/>
      <w:szCs w:val="20"/>
    </w:rPr>
  </w:style>
  <w:style w:type="character" w:styleId="EndnoteReference">
    <w:name w:val="endnote reference"/>
    <w:basedOn w:val="DefaultParagraphFont"/>
    <w:uiPriority w:val="99"/>
    <w:semiHidden/>
    <w:unhideWhenUsed/>
    <w:rsid w:val="00157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64360">
      <w:bodyDiv w:val="1"/>
      <w:marLeft w:val="0"/>
      <w:marRight w:val="0"/>
      <w:marTop w:val="0"/>
      <w:marBottom w:val="0"/>
      <w:divBdr>
        <w:top w:val="none" w:sz="0" w:space="0" w:color="auto"/>
        <w:left w:val="none" w:sz="0" w:space="0" w:color="auto"/>
        <w:bottom w:val="none" w:sz="0" w:space="0" w:color="auto"/>
        <w:right w:val="none" w:sz="0" w:space="0" w:color="auto"/>
      </w:divBdr>
      <w:divsChild>
        <w:div w:id="596598958">
          <w:marLeft w:val="0"/>
          <w:marRight w:val="0"/>
          <w:marTop w:val="0"/>
          <w:marBottom w:val="0"/>
          <w:divBdr>
            <w:top w:val="none" w:sz="0" w:space="0" w:color="auto"/>
            <w:left w:val="none" w:sz="0" w:space="0" w:color="auto"/>
            <w:bottom w:val="none" w:sz="0" w:space="0" w:color="auto"/>
            <w:right w:val="none" w:sz="0" w:space="0" w:color="auto"/>
          </w:divBdr>
          <w:divsChild>
            <w:div w:id="51084911">
              <w:marLeft w:val="0"/>
              <w:marRight w:val="0"/>
              <w:marTop w:val="0"/>
              <w:marBottom w:val="0"/>
              <w:divBdr>
                <w:top w:val="none" w:sz="0" w:space="0" w:color="auto"/>
                <w:left w:val="none" w:sz="0" w:space="0" w:color="auto"/>
                <w:bottom w:val="none" w:sz="0" w:space="0" w:color="auto"/>
                <w:right w:val="none" w:sz="0" w:space="0" w:color="auto"/>
              </w:divBdr>
            </w:div>
            <w:div w:id="137263029">
              <w:marLeft w:val="0"/>
              <w:marRight w:val="0"/>
              <w:marTop w:val="0"/>
              <w:marBottom w:val="0"/>
              <w:divBdr>
                <w:top w:val="none" w:sz="0" w:space="0" w:color="auto"/>
                <w:left w:val="none" w:sz="0" w:space="0" w:color="auto"/>
                <w:bottom w:val="none" w:sz="0" w:space="0" w:color="auto"/>
                <w:right w:val="none" w:sz="0" w:space="0" w:color="auto"/>
              </w:divBdr>
            </w:div>
            <w:div w:id="157817592">
              <w:marLeft w:val="0"/>
              <w:marRight w:val="0"/>
              <w:marTop w:val="0"/>
              <w:marBottom w:val="0"/>
              <w:divBdr>
                <w:top w:val="none" w:sz="0" w:space="0" w:color="auto"/>
                <w:left w:val="none" w:sz="0" w:space="0" w:color="auto"/>
                <w:bottom w:val="none" w:sz="0" w:space="0" w:color="auto"/>
                <w:right w:val="none" w:sz="0" w:space="0" w:color="auto"/>
              </w:divBdr>
            </w:div>
            <w:div w:id="457064771">
              <w:marLeft w:val="0"/>
              <w:marRight w:val="0"/>
              <w:marTop w:val="0"/>
              <w:marBottom w:val="0"/>
              <w:divBdr>
                <w:top w:val="none" w:sz="0" w:space="0" w:color="auto"/>
                <w:left w:val="none" w:sz="0" w:space="0" w:color="auto"/>
                <w:bottom w:val="none" w:sz="0" w:space="0" w:color="auto"/>
                <w:right w:val="none" w:sz="0" w:space="0" w:color="auto"/>
              </w:divBdr>
            </w:div>
            <w:div w:id="1082679169">
              <w:marLeft w:val="0"/>
              <w:marRight w:val="0"/>
              <w:marTop w:val="0"/>
              <w:marBottom w:val="0"/>
              <w:divBdr>
                <w:top w:val="none" w:sz="0" w:space="0" w:color="auto"/>
                <w:left w:val="none" w:sz="0" w:space="0" w:color="auto"/>
                <w:bottom w:val="none" w:sz="0" w:space="0" w:color="auto"/>
                <w:right w:val="none" w:sz="0" w:space="0" w:color="auto"/>
              </w:divBdr>
            </w:div>
            <w:div w:id="92476224">
              <w:marLeft w:val="0"/>
              <w:marRight w:val="0"/>
              <w:marTop w:val="0"/>
              <w:marBottom w:val="0"/>
              <w:divBdr>
                <w:top w:val="none" w:sz="0" w:space="0" w:color="auto"/>
                <w:left w:val="none" w:sz="0" w:space="0" w:color="auto"/>
                <w:bottom w:val="none" w:sz="0" w:space="0" w:color="auto"/>
                <w:right w:val="none" w:sz="0" w:space="0" w:color="auto"/>
              </w:divBdr>
            </w:div>
            <w:div w:id="116726100">
              <w:marLeft w:val="0"/>
              <w:marRight w:val="0"/>
              <w:marTop w:val="0"/>
              <w:marBottom w:val="0"/>
              <w:divBdr>
                <w:top w:val="none" w:sz="0" w:space="0" w:color="auto"/>
                <w:left w:val="none" w:sz="0" w:space="0" w:color="auto"/>
                <w:bottom w:val="none" w:sz="0" w:space="0" w:color="auto"/>
                <w:right w:val="none" w:sz="0" w:space="0" w:color="auto"/>
              </w:divBdr>
            </w:div>
            <w:div w:id="1264218598">
              <w:marLeft w:val="0"/>
              <w:marRight w:val="0"/>
              <w:marTop w:val="0"/>
              <w:marBottom w:val="0"/>
              <w:divBdr>
                <w:top w:val="none" w:sz="0" w:space="0" w:color="auto"/>
                <w:left w:val="none" w:sz="0" w:space="0" w:color="auto"/>
                <w:bottom w:val="none" w:sz="0" w:space="0" w:color="auto"/>
                <w:right w:val="none" w:sz="0" w:space="0" w:color="auto"/>
              </w:divBdr>
            </w:div>
            <w:div w:id="640891536">
              <w:marLeft w:val="0"/>
              <w:marRight w:val="0"/>
              <w:marTop w:val="0"/>
              <w:marBottom w:val="0"/>
              <w:divBdr>
                <w:top w:val="none" w:sz="0" w:space="0" w:color="auto"/>
                <w:left w:val="none" w:sz="0" w:space="0" w:color="auto"/>
                <w:bottom w:val="none" w:sz="0" w:space="0" w:color="auto"/>
                <w:right w:val="none" w:sz="0" w:space="0" w:color="auto"/>
              </w:divBdr>
            </w:div>
            <w:div w:id="1086225779">
              <w:marLeft w:val="0"/>
              <w:marRight w:val="0"/>
              <w:marTop w:val="0"/>
              <w:marBottom w:val="0"/>
              <w:divBdr>
                <w:top w:val="none" w:sz="0" w:space="0" w:color="auto"/>
                <w:left w:val="none" w:sz="0" w:space="0" w:color="auto"/>
                <w:bottom w:val="none" w:sz="0" w:space="0" w:color="auto"/>
                <w:right w:val="none" w:sz="0" w:space="0" w:color="auto"/>
              </w:divBdr>
            </w:div>
            <w:div w:id="1591814072">
              <w:marLeft w:val="0"/>
              <w:marRight w:val="0"/>
              <w:marTop w:val="0"/>
              <w:marBottom w:val="0"/>
              <w:divBdr>
                <w:top w:val="none" w:sz="0" w:space="0" w:color="auto"/>
                <w:left w:val="none" w:sz="0" w:space="0" w:color="auto"/>
                <w:bottom w:val="none" w:sz="0" w:space="0" w:color="auto"/>
                <w:right w:val="none" w:sz="0" w:space="0" w:color="auto"/>
              </w:divBdr>
            </w:div>
            <w:div w:id="1452552542">
              <w:marLeft w:val="0"/>
              <w:marRight w:val="0"/>
              <w:marTop w:val="0"/>
              <w:marBottom w:val="0"/>
              <w:divBdr>
                <w:top w:val="none" w:sz="0" w:space="0" w:color="auto"/>
                <w:left w:val="none" w:sz="0" w:space="0" w:color="auto"/>
                <w:bottom w:val="none" w:sz="0" w:space="0" w:color="auto"/>
                <w:right w:val="none" w:sz="0" w:space="0" w:color="auto"/>
              </w:divBdr>
            </w:div>
            <w:div w:id="187724361">
              <w:marLeft w:val="0"/>
              <w:marRight w:val="0"/>
              <w:marTop w:val="0"/>
              <w:marBottom w:val="0"/>
              <w:divBdr>
                <w:top w:val="none" w:sz="0" w:space="0" w:color="auto"/>
                <w:left w:val="none" w:sz="0" w:space="0" w:color="auto"/>
                <w:bottom w:val="none" w:sz="0" w:space="0" w:color="auto"/>
                <w:right w:val="none" w:sz="0" w:space="0" w:color="auto"/>
              </w:divBdr>
            </w:div>
            <w:div w:id="344941898">
              <w:marLeft w:val="0"/>
              <w:marRight w:val="0"/>
              <w:marTop w:val="0"/>
              <w:marBottom w:val="0"/>
              <w:divBdr>
                <w:top w:val="none" w:sz="0" w:space="0" w:color="auto"/>
                <w:left w:val="none" w:sz="0" w:space="0" w:color="auto"/>
                <w:bottom w:val="none" w:sz="0" w:space="0" w:color="auto"/>
                <w:right w:val="none" w:sz="0" w:space="0" w:color="auto"/>
              </w:divBdr>
            </w:div>
            <w:div w:id="1547062219">
              <w:marLeft w:val="0"/>
              <w:marRight w:val="0"/>
              <w:marTop w:val="0"/>
              <w:marBottom w:val="0"/>
              <w:divBdr>
                <w:top w:val="none" w:sz="0" w:space="0" w:color="auto"/>
                <w:left w:val="none" w:sz="0" w:space="0" w:color="auto"/>
                <w:bottom w:val="none" w:sz="0" w:space="0" w:color="auto"/>
                <w:right w:val="none" w:sz="0" w:space="0" w:color="auto"/>
              </w:divBdr>
            </w:div>
            <w:div w:id="1264649816">
              <w:marLeft w:val="0"/>
              <w:marRight w:val="0"/>
              <w:marTop w:val="0"/>
              <w:marBottom w:val="0"/>
              <w:divBdr>
                <w:top w:val="none" w:sz="0" w:space="0" w:color="auto"/>
                <w:left w:val="none" w:sz="0" w:space="0" w:color="auto"/>
                <w:bottom w:val="none" w:sz="0" w:space="0" w:color="auto"/>
                <w:right w:val="none" w:sz="0" w:space="0" w:color="auto"/>
              </w:divBdr>
            </w:div>
            <w:div w:id="1685014852">
              <w:marLeft w:val="0"/>
              <w:marRight w:val="0"/>
              <w:marTop w:val="0"/>
              <w:marBottom w:val="0"/>
              <w:divBdr>
                <w:top w:val="none" w:sz="0" w:space="0" w:color="auto"/>
                <w:left w:val="none" w:sz="0" w:space="0" w:color="auto"/>
                <w:bottom w:val="none" w:sz="0" w:space="0" w:color="auto"/>
                <w:right w:val="none" w:sz="0" w:space="0" w:color="auto"/>
              </w:divBdr>
            </w:div>
            <w:div w:id="1173689655">
              <w:marLeft w:val="0"/>
              <w:marRight w:val="0"/>
              <w:marTop w:val="0"/>
              <w:marBottom w:val="0"/>
              <w:divBdr>
                <w:top w:val="none" w:sz="0" w:space="0" w:color="auto"/>
                <w:left w:val="none" w:sz="0" w:space="0" w:color="auto"/>
                <w:bottom w:val="none" w:sz="0" w:space="0" w:color="auto"/>
                <w:right w:val="none" w:sz="0" w:space="0" w:color="auto"/>
              </w:divBdr>
            </w:div>
            <w:div w:id="1649675202">
              <w:marLeft w:val="0"/>
              <w:marRight w:val="0"/>
              <w:marTop w:val="0"/>
              <w:marBottom w:val="0"/>
              <w:divBdr>
                <w:top w:val="none" w:sz="0" w:space="0" w:color="auto"/>
                <w:left w:val="none" w:sz="0" w:space="0" w:color="auto"/>
                <w:bottom w:val="none" w:sz="0" w:space="0" w:color="auto"/>
                <w:right w:val="none" w:sz="0" w:space="0" w:color="auto"/>
              </w:divBdr>
            </w:div>
            <w:div w:id="225385471">
              <w:marLeft w:val="0"/>
              <w:marRight w:val="0"/>
              <w:marTop w:val="0"/>
              <w:marBottom w:val="0"/>
              <w:divBdr>
                <w:top w:val="none" w:sz="0" w:space="0" w:color="auto"/>
                <w:left w:val="none" w:sz="0" w:space="0" w:color="auto"/>
                <w:bottom w:val="none" w:sz="0" w:space="0" w:color="auto"/>
                <w:right w:val="none" w:sz="0" w:space="0" w:color="auto"/>
              </w:divBdr>
            </w:div>
            <w:div w:id="366880908">
              <w:marLeft w:val="0"/>
              <w:marRight w:val="0"/>
              <w:marTop w:val="0"/>
              <w:marBottom w:val="0"/>
              <w:divBdr>
                <w:top w:val="none" w:sz="0" w:space="0" w:color="auto"/>
                <w:left w:val="none" w:sz="0" w:space="0" w:color="auto"/>
                <w:bottom w:val="none" w:sz="0" w:space="0" w:color="auto"/>
                <w:right w:val="none" w:sz="0" w:space="0" w:color="auto"/>
              </w:divBdr>
            </w:div>
            <w:div w:id="149251262">
              <w:marLeft w:val="0"/>
              <w:marRight w:val="0"/>
              <w:marTop w:val="0"/>
              <w:marBottom w:val="0"/>
              <w:divBdr>
                <w:top w:val="none" w:sz="0" w:space="0" w:color="auto"/>
                <w:left w:val="none" w:sz="0" w:space="0" w:color="auto"/>
                <w:bottom w:val="none" w:sz="0" w:space="0" w:color="auto"/>
                <w:right w:val="none" w:sz="0" w:space="0" w:color="auto"/>
              </w:divBdr>
            </w:div>
            <w:div w:id="1810588840">
              <w:marLeft w:val="0"/>
              <w:marRight w:val="0"/>
              <w:marTop w:val="0"/>
              <w:marBottom w:val="0"/>
              <w:divBdr>
                <w:top w:val="none" w:sz="0" w:space="0" w:color="auto"/>
                <w:left w:val="none" w:sz="0" w:space="0" w:color="auto"/>
                <w:bottom w:val="none" w:sz="0" w:space="0" w:color="auto"/>
                <w:right w:val="none" w:sz="0" w:space="0" w:color="auto"/>
              </w:divBdr>
            </w:div>
            <w:div w:id="505481904">
              <w:marLeft w:val="0"/>
              <w:marRight w:val="0"/>
              <w:marTop w:val="0"/>
              <w:marBottom w:val="0"/>
              <w:divBdr>
                <w:top w:val="none" w:sz="0" w:space="0" w:color="auto"/>
                <w:left w:val="none" w:sz="0" w:space="0" w:color="auto"/>
                <w:bottom w:val="none" w:sz="0" w:space="0" w:color="auto"/>
                <w:right w:val="none" w:sz="0" w:space="0" w:color="auto"/>
              </w:divBdr>
            </w:div>
            <w:div w:id="407389308">
              <w:marLeft w:val="0"/>
              <w:marRight w:val="0"/>
              <w:marTop w:val="0"/>
              <w:marBottom w:val="0"/>
              <w:divBdr>
                <w:top w:val="none" w:sz="0" w:space="0" w:color="auto"/>
                <w:left w:val="none" w:sz="0" w:space="0" w:color="auto"/>
                <w:bottom w:val="none" w:sz="0" w:space="0" w:color="auto"/>
                <w:right w:val="none" w:sz="0" w:space="0" w:color="auto"/>
              </w:divBdr>
            </w:div>
            <w:div w:id="1788741210">
              <w:marLeft w:val="0"/>
              <w:marRight w:val="0"/>
              <w:marTop w:val="0"/>
              <w:marBottom w:val="0"/>
              <w:divBdr>
                <w:top w:val="none" w:sz="0" w:space="0" w:color="auto"/>
                <w:left w:val="none" w:sz="0" w:space="0" w:color="auto"/>
                <w:bottom w:val="none" w:sz="0" w:space="0" w:color="auto"/>
                <w:right w:val="none" w:sz="0" w:space="0" w:color="auto"/>
              </w:divBdr>
            </w:div>
            <w:div w:id="836505525">
              <w:marLeft w:val="0"/>
              <w:marRight w:val="0"/>
              <w:marTop w:val="0"/>
              <w:marBottom w:val="0"/>
              <w:divBdr>
                <w:top w:val="none" w:sz="0" w:space="0" w:color="auto"/>
                <w:left w:val="none" w:sz="0" w:space="0" w:color="auto"/>
                <w:bottom w:val="none" w:sz="0" w:space="0" w:color="auto"/>
                <w:right w:val="none" w:sz="0" w:space="0" w:color="auto"/>
              </w:divBdr>
            </w:div>
            <w:div w:id="451479554">
              <w:marLeft w:val="0"/>
              <w:marRight w:val="0"/>
              <w:marTop w:val="0"/>
              <w:marBottom w:val="0"/>
              <w:divBdr>
                <w:top w:val="none" w:sz="0" w:space="0" w:color="auto"/>
                <w:left w:val="none" w:sz="0" w:space="0" w:color="auto"/>
                <w:bottom w:val="none" w:sz="0" w:space="0" w:color="auto"/>
                <w:right w:val="none" w:sz="0" w:space="0" w:color="auto"/>
              </w:divBdr>
            </w:div>
            <w:div w:id="867597087">
              <w:marLeft w:val="0"/>
              <w:marRight w:val="0"/>
              <w:marTop w:val="0"/>
              <w:marBottom w:val="0"/>
              <w:divBdr>
                <w:top w:val="none" w:sz="0" w:space="0" w:color="auto"/>
                <w:left w:val="none" w:sz="0" w:space="0" w:color="auto"/>
                <w:bottom w:val="none" w:sz="0" w:space="0" w:color="auto"/>
                <w:right w:val="none" w:sz="0" w:space="0" w:color="auto"/>
              </w:divBdr>
            </w:div>
            <w:div w:id="65300410">
              <w:marLeft w:val="0"/>
              <w:marRight w:val="0"/>
              <w:marTop w:val="0"/>
              <w:marBottom w:val="0"/>
              <w:divBdr>
                <w:top w:val="none" w:sz="0" w:space="0" w:color="auto"/>
                <w:left w:val="none" w:sz="0" w:space="0" w:color="auto"/>
                <w:bottom w:val="none" w:sz="0" w:space="0" w:color="auto"/>
                <w:right w:val="none" w:sz="0" w:space="0" w:color="auto"/>
              </w:divBdr>
            </w:div>
            <w:div w:id="1596597585">
              <w:marLeft w:val="0"/>
              <w:marRight w:val="0"/>
              <w:marTop w:val="0"/>
              <w:marBottom w:val="0"/>
              <w:divBdr>
                <w:top w:val="none" w:sz="0" w:space="0" w:color="auto"/>
                <w:left w:val="none" w:sz="0" w:space="0" w:color="auto"/>
                <w:bottom w:val="none" w:sz="0" w:space="0" w:color="auto"/>
                <w:right w:val="none" w:sz="0" w:space="0" w:color="auto"/>
              </w:divBdr>
            </w:div>
            <w:div w:id="383601089">
              <w:marLeft w:val="0"/>
              <w:marRight w:val="0"/>
              <w:marTop w:val="0"/>
              <w:marBottom w:val="0"/>
              <w:divBdr>
                <w:top w:val="none" w:sz="0" w:space="0" w:color="auto"/>
                <w:left w:val="none" w:sz="0" w:space="0" w:color="auto"/>
                <w:bottom w:val="none" w:sz="0" w:space="0" w:color="auto"/>
                <w:right w:val="none" w:sz="0" w:space="0" w:color="auto"/>
              </w:divBdr>
            </w:div>
            <w:div w:id="465128770">
              <w:marLeft w:val="0"/>
              <w:marRight w:val="0"/>
              <w:marTop w:val="0"/>
              <w:marBottom w:val="0"/>
              <w:divBdr>
                <w:top w:val="none" w:sz="0" w:space="0" w:color="auto"/>
                <w:left w:val="none" w:sz="0" w:space="0" w:color="auto"/>
                <w:bottom w:val="none" w:sz="0" w:space="0" w:color="auto"/>
                <w:right w:val="none" w:sz="0" w:space="0" w:color="auto"/>
              </w:divBdr>
            </w:div>
            <w:div w:id="1987203797">
              <w:marLeft w:val="0"/>
              <w:marRight w:val="0"/>
              <w:marTop w:val="0"/>
              <w:marBottom w:val="0"/>
              <w:divBdr>
                <w:top w:val="none" w:sz="0" w:space="0" w:color="auto"/>
                <w:left w:val="none" w:sz="0" w:space="0" w:color="auto"/>
                <w:bottom w:val="none" w:sz="0" w:space="0" w:color="auto"/>
                <w:right w:val="none" w:sz="0" w:space="0" w:color="auto"/>
              </w:divBdr>
            </w:div>
            <w:div w:id="1471636073">
              <w:marLeft w:val="0"/>
              <w:marRight w:val="0"/>
              <w:marTop w:val="0"/>
              <w:marBottom w:val="0"/>
              <w:divBdr>
                <w:top w:val="none" w:sz="0" w:space="0" w:color="auto"/>
                <w:left w:val="none" w:sz="0" w:space="0" w:color="auto"/>
                <w:bottom w:val="none" w:sz="0" w:space="0" w:color="auto"/>
                <w:right w:val="none" w:sz="0" w:space="0" w:color="auto"/>
              </w:divBdr>
            </w:div>
            <w:div w:id="1903980017">
              <w:marLeft w:val="0"/>
              <w:marRight w:val="0"/>
              <w:marTop w:val="0"/>
              <w:marBottom w:val="0"/>
              <w:divBdr>
                <w:top w:val="none" w:sz="0" w:space="0" w:color="auto"/>
                <w:left w:val="none" w:sz="0" w:space="0" w:color="auto"/>
                <w:bottom w:val="none" w:sz="0" w:space="0" w:color="auto"/>
                <w:right w:val="none" w:sz="0" w:space="0" w:color="auto"/>
              </w:divBdr>
            </w:div>
            <w:div w:id="1814132492">
              <w:marLeft w:val="0"/>
              <w:marRight w:val="0"/>
              <w:marTop w:val="0"/>
              <w:marBottom w:val="0"/>
              <w:divBdr>
                <w:top w:val="none" w:sz="0" w:space="0" w:color="auto"/>
                <w:left w:val="none" w:sz="0" w:space="0" w:color="auto"/>
                <w:bottom w:val="none" w:sz="0" w:space="0" w:color="auto"/>
                <w:right w:val="none" w:sz="0" w:space="0" w:color="auto"/>
              </w:divBdr>
            </w:div>
            <w:div w:id="1097873444">
              <w:marLeft w:val="0"/>
              <w:marRight w:val="0"/>
              <w:marTop w:val="0"/>
              <w:marBottom w:val="0"/>
              <w:divBdr>
                <w:top w:val="none" w:sz="0" w:space="0" w:color="auto"/>
                <w:left w:val="none" w:sz="0" w:space="0" w:color="auto"/>
                <w:bottom w:val="none" w:sz="0" w:space="0" w:color="auto"/>
                <w:right w:val="none" w:sz="0" w:space="0" w:color="auto"/>
              </w:divBdr>
            </w:div>
            <w:div w:id="1504121752">
              <w:marLeft w:val="0"/>
              <w:marRight w:val="0"/>
              <w:marTop w:val="0"/>
              <w:marBottom w:val="0"/>
              <w:divBdr>
                <w:top w:val="none" w:sz="0" w:space="0" w:color="auto"/>
                <w:left w:val="none" w:sz="0" w:space="0" w:color="auto"/>
                <w:bottom w:val="none" w:sz="0" w:space="0" w:color="auto"/>
                <w:right w:val="none" w:sz="0" w:space="0" w:color="auto"/>
              </w:divBdr>
            </w:div>
            <w:div w:id="1100878222">
              <w:marLeft w:val="0"/>
              <w:marRight w:val="0"/>
              <w:marTop w:val="0"/>
              <w:marBottom w:val="0"/>
              <w:divBdr>
                <w:top w:val="none" w:sz="0" w:space="0" w:color="auto"/>
                <w:left w:val="none" w:sz="0" w:space="0" w:color="auto"/>
                <w:bottom w:val="none" w:sz="0" w:space="0" w:color="auto"/>
                <w:right w:val="none" w:sz="0" w:space="0" w:color="auto"/>
              </w:divBdr>
            </w:div>
            <w:div w:id="1913195920">
              <w:marLeft w:val="0"/>
              <w:marRight w:val="0"/>
              <w:marTop w:val="0"/>
              <w:marBottom w:val="0"/>
              <w:divBdr>
                <w:top w:val="none" w:sz="0" w:space="0" w:color="auto"/>
                <w:left w:val="none" w:sz="0" w:space="0" w:color="auto"/>
                <w:bottom w:val="none" w:sz="0" w:space="0" w:color="auto"/>
                <w:right w:val="none" w:sz="0" w:space="0" w:color="auto"/>
              </w:divBdr>
            </w:div>
            <w:div w:id="1239246473">
              <w:marLeft w:val="0"/>
              <w:marRight w:val="0"/>
              <w:marTop w:val="0"/>
              <w:marBottom w:val="0"/>
              <w:divBdr>
                <w:top w:val="none" w:sz="0" w:space="0" w:color="auto"/>
                <w:left w:val="none" w:sz="0" w:space="0" w:color="auto"/>
                <w:bottom w:val="none" w:sz="0" w:space="0" w:color="auto"/>
                <w:right w:val="none" w:sz="0" w:space="0" w:color="auto"/>
              </w:divBdr>
            </w:div>
            <w:div w:id="899941594">
              <w:marLeft w:val="0"/>
              <w:marRight w:val="0"/>
              <w:marTop w:val="0"/>
              <w:marBottom w:val="0"/>
              <w:divBdr>
                <w:top w:val="none" w:sz="0" w:space="0" w:color="auto"/>
                <w:left w:val="none" w:sz="0" w:space="0" w:color="auto"/>
                <w:bottom w:val="none" w:sz="0" w:space="0" w:color="auto"/>
                <w:right w:val="none" w:sz="0" w:space="0" w:color="auto"/>
              </w:divBdr>
            </w:div>
            <w:div w:id="513764781">
              <w:marLeft w:val="0"/>
              <w:marRight w:val="0"/>
              <w:marTop w:val="0"/>
              <w:marBottom w:val="0"/>
              <w:divBdr>
                <w:top w:val="none" w:sz="0" w:space="0" w:color="auto"/>
                <w:left w:val="none" w:sz="0" w:space="0" w:color="auto"/>
                <w:bottom w:val="none" w:sz="0" w:space="0" w:color="auto"/>
                <w:right w:val="none" w:sz="0" w:space="0" w:color="auto"/>
              </w:divBdr>
            </w:div>
            <w:div w:id="541091753">
              <w:marLeft w:val="0"/>
              <w:marRight w:val="0"/>
              <w:marTop w:val="0"/>
              <w:marBottom w:val="0"/>
              <w:divBdr>
                <w:top w:val="none" w:sz="0" w:space="0" w:color="auto"/>
                <w:left w:val="none" w:sz="0" w:space="0" w:color="auto"/>
                <w:bottom w:val="none" w:sz="0" w:space="0" w:color="auto"/>
                <w:right w:val="none" w:sz="0" w:space="0" w:color="auto"/>
              </w:divBdr>
            </w:div>
            <w:div w:id="1608345044">
              <w:marLeft w:val="0"/>
              <w:marRight w:val="0"/>
              <w:marTop w:val="0"/>
              <w:marBottom w:val="0"/>
              <w:divBdr>
                <w:top w:val="none" w:sz="0" w:space="0" w:color="auto"/>
                <w:left w:val="none" w:sz="0" w:space="0" w:color="auto"/>
                <w:bottom w:val="none" w:sz="0" w:space="0" w:color="auto"/>
                <w:right w:val="none" w:sz="0" w:space="0" w:color="auto"/>
              </w:divBdr>
            </w:div>
            <w:div w:id="325473318">
              <w:marLeft w:val="0"/>
              <w:marRight w:val="0"/>
              <w:marTop w:val="0"/>
              <w:marBottom w:val="0"/>
              <w:divBdr>
                <w:top w:val="none" w:sz="0" w:space="0" w:color="auto"/>
                <w:left w:val="none" w:sz="0" w:space="0" w:color="auto"/>
                <w:bottom w:val="none" w:sz="0" w:space="0" w:color="auto"/>
                <w:right w:val="none" w:sz="0" w:space="0" w:color="auto"/>
              </w:divBdr>
            </w:div>
            <w:div w:id="1138844671">
              <w:marLeft w:val="0"/>
              <w:marRight w:val="0"/>
              <w:marTop w:val="0"/>
              <w:marBottom w:val="0"/>
              <w:divBdr>
                <w:top w:val="none" w:sz="0" w:space="0" w:color="auto"/>
                <w:left w:val="none" w:sz="0" w:space="0" w:color="auto"/>
                <w:bottom w:val="none" w:sz="0" w:space="0" w:color="auto"/>
                <w:right w:val="none" w:sz="0" w:space="0" w:color="auto"/>
              </w:divBdr>
            </w:div>
            <w:div w:id="1461076396">
              <w:marLeft w:val="0"/>
              <w:marRight w:val="0"/>
              <w:marTop w:val="0"/>
              <w:marBottom w:val="0"/>
              <w:divBdr>
                <w:top w:val="none" w:sz="0" w:space="0" w:color="auto"/>
                <w:left w:val="none" w:sz="0" w:space="0" w:color="auto"/>
                <w:bottom w:val="none" w:sz="0" w:space="0" w:color="auto"/>
                <w:right w:val="none" w:sz="0" w:space="0" w:color="auto"/>
              </w:divBdr>
            </w:div>
            <w:div w:id="43911628">
              <w:marLeft w:val="0"/>
              <w:marRight w:val="0"/>
              <w:marTop w:val="0"/>
              <w:marBottom w:val="0"/>
              <w:divBdr>
                <w:top w:val="none" w:sz="0" w:space="0" w:color="auto"/>
                <w:left w:val="none" w:sz="0" w:space="0" w:color="auto"/>
                <w:bottom w:val="none" w:sz="0" w:space="0" w:color="auto"/>
                <w:right w:val="none" w:sz="0" w:space="0" w:color="auto"/>
              </w:divBdr>
            </w:div>
            <w:div w:id="1749308768">
              <w:marLeft w:val="0"/>
              <w:marRight w:val="0"/>
              <w:marTop w:val="0"/>
              <w:marBottom w:val="0"/>
              <w:divBdr>
                <w:top w:val="none" w:sz="0" w:space="0" w:color="auto"/>
                <w:left w:val="none" w:sz="0" w:space="0" w:color="auto"/>
                <w:bottom w:val="none" w:sz="0" w:space="0" w:color="auto"/>
                <w:right w:val="none" w:sz="0" w:space="0" w:color="auto"/>
              </w:divBdr>
            </w:div>
            <w:div w:id="1960263661">
              <w:marLeft w:val="0"/>
              <w:marRight w:val="0"/>
              <w:marTop w:val="0"/>
              <w:marBottom w:val="0"/>
              <w:divBdr>
                <w:top w:val="none" w:sz="0" w:space="0" w:color="auto"/>
                <w:left w:val="none" w:sz="0" w:space="0" w:color="auto"/>
                <w:bottom w:val="none" w:sz="0" w:space="0" w:color="auto"/>
                <w:right w:val="none" w:sz="0" w:space="0" w:color="auto"/>
              </w:divBdr>
            </w:div>
            <w:div w:id="2025935541">
              <w:marLeft w:val="0"/>
              <w:marRight w:val="0"/>
              <w:marTop w:val="0"/>
              <w:marBottom w:val="0"/>
              <w:divBdr>
                <w:top w:val="none" w:sz="0" w:space="0" w:color="auto"/>
                <w:left w:val="none" w:sz="0" w:space="0" w:color="auto"/>
                <w:bottom w:val="none" w:sz="0" w:space="0" w:color="auto"/>
                <w:right w:val="none" w:sz="0" w:space="0" w:color="auto"/>
              </w:divBdr>
            </w:div>
            <w:div w:id="281805946">
              <w:marLeft w:val="0"/>
              <w:marRight w:val="0"/>
              <w:marTop w:val="0"/>
              <w:marBottom w:val="0"/>
              <w:divBdr>
                <w:top w:val="none" w:sz="0" w:space="0" w:color="auto"/>
                <w:left w:val="none" w:sz="0" w:space="0" w:color="auto"/>
                <w:bottom w:val="none" w:sz="0" w:space="0" w:color="auto"/>
                <w:right w:val="none" w:sz="0" w:space="0" w:color="auto"/>
              </w:divBdr>
            </w:div>
            <w:div w:id="1451702768">
              <w:marLeft w:val="0"/>
              <w:marRight w:val="0"/>
              <w:marTop w:val="0"/>
              <w:marBottom w:val="0"/>
              <w:divBdr>
                <w:top w:val="none" w:sz="0" w:space="0" w:color="auto"/>
                <w:left w:val="none" w:sz="0" w:space="0" w:color="auto"/>
                <w:bottom w:val="none" w:sz="0" w:space="0" w:color="auto"/>
                <w:right w:val="none" w:sz="0" w:space="0" w:color="auto"/>
              </w:divBdr>
            </w:div>
            <w:div w:id="1179198287">
              <w:marLeft w:val="0"/>
              <w:marRight w:val="0"/>
              <w:marTop w:val="0"/>
              <w:marBottom w:val="0"/>
              <w:divBdr>
                <w:top w:val="none" w:sz="0" w:space="0" w:color="auto"/>
                <w:left w:val="none" w:sz="0" w:space="0" w:color="auto"/>
                <w:bottom w:val="none" w:sz="0" w:space="0" w:color="auto"/>
                <w:right w:val="none" w:sz="0" w:space="0" w:color="auto"/>
              </w:divBdr>
            </w:div>
            <w:div w:id="605045366">
              <w:marLeft w:val="0"/>
              <w:marRight w:val="0"/>
              <w:marTop w:val="0"/>
              <w:marBottom w:val="0"/>
              <w:divBdr>
                <w:top w:val="none" w:sz="0" w:space="0" w:color="auto"/>
                <w:left w:val="none" w:sz="0" w:space="0" w:color="auto"/>
                <w:bottom w:val="none" w:sz="0" w:space="0" w:color="auto"/>
                <w:right w:val="none" w:sz="0" w:space="0" w:color="auto"/>
              </w:divBdr>
            </w:div>
            <w:div w:id="1464889192">
              <w:marLeft w:val="0"/>
              <w:marRight w:val="0"/>
              <w:marTop w:val="0"/>
              <w:marBottom w:val="0"/>
              <w:divBdr>
                <w:top w:val="none" w:sz="0" w:space="0" w:color="auto"/>
                <w:left w:val="none" w:sz="0" w:space="0" w:color="auto"/>
                <w:bottom w:val="none" w:sz="0" w:space="0" w:color="auto"/>
                <w:right w:val="none" w:sz="0" w:space="0" w:color="auto"/>
              </w:divBdr>
            </w:div>
            <w:div w:id="600645652">
              <w:marLeft w:val="0"/>
              <w:marRight w:val="0"/>
              <w:marTop w:val="0"/>
              <w:marBottom w:val="0"/>
              <w:divBdr>
                <w:top w:val="none" w:sz="0" w:space="0" w:color="auto"/>
                <w:left w:val="none" w:sz="0" w:space="0" w:color="auto"/>
                <w:bottom w:val="none" w:sz="0" w:space="0" w:color="auto"/>
                <w:right w:val="none" w:sz="0" w:space="0" w:color="auto"/>
              </w:divBdr>
            </w:div>
            <w:div w:id="558632137">
              <w:marLeft w:val="0"/>
              <w:marRight w:val="0"/>
              <w:marTop w:val="0"/>
              <w:marBottom w:val="0"/>
              <w:divBdr>
                <w:top w:val="none" w:sz="0" w:space="0" w:color="auto"/>
                <w:left w:val="none" w:sz="0" w:space="0" w:color="auto"/>
                <w:bottom w:val="none" w:sz="0" w:space="0" w:color="auto"/>
                <w:right w:val="none" w:sz="0" w:space="0" w:color="auto"/>
              </w:divBdr>
            </w:div>
            <w:div w:id="2014068896">
              <w:marLeft w:val="0"/>
              <w:marRight w:val="0"/>
              <w:marTop w:val="0"/>
              <w:marBottom w:val="0"/>
              <w:divBdr>
                <w:top w:val="none" w:sz="0" w:space="0" w:color="auto"/>
                <w:left w:val="none" w:sz="0" w:space="0" w:color="auto"/>
                <w:bottom w:val="none" w:sz="0" w:space="0" w:color="auto"/>
                <w:right w:val="none" w:sz="0" w:space="0" w:color="auto"/>
              </w:divBdr>
            </w:div>
            <w:div w:id="1302728600">
              <w:marLeft w:val="0"/>
              <w:marRight w:val="0"/>
              <w:marTop w:val="0"/>
              <w:marBottom w:val="0"/>
              <w:divBdr>
                <w:top w:val="none" w:sz="0" w:space="0" w:color="auto"/>
                <w:left w:val="none" w:sz="0" w:space="0" w:color="auto"/>
                <w:bottom w:val="none" w:sz="0" w:space="0" w:color="auto"/>
                <w:right w:val="none" w:sz="0" w:space="0" w:color="auto"/>
              </w:divBdr>
            </w:div>
            <w:div w:id="870922185">
              <w:marLeft w:val="0"/>
              <w:marRight w:val="0"/>
              <w:marTop w:val="0"/>
              <w:marBottom w:val="0"/>
              <w:divBdr>
                <w:top w:val="none" w:sz="0" w:space="0" w:color="auto"/>
                <w:left w:val="none" w:sz="0" w:space="0" w:color="auto"/>
                <w:bottom w:val="none" w:sz="0" w:space="0" w:color="auto"/>
                <w:right w:val="none" w:sz="0" w:space="0" w:color="auto"/>
              </w:divBdr>
            </w:div>
            <w:div w:id="1002468737">
              <w:marLeft w:val="0"/>
              <w:marRight w:val="0"/>
              <w:marTop w:val="0"/>
              <w:marBottom w:val="0"/>
              <w:divBdr>
                <w:top w:val="none" w:sz="0" w:space="0" w:color="auto"/>
                <w:left w:val="none" w:sz="0" w:space="0" w:color="auto"/>
                <w:bottom w:val="none" w:sz="0" w:space="0" w:color="auto"/>
                <w:right w:val="none" w:sz="0" w:space="0" w:color="auto"/>
              </w:divBdr>
            </w:div>
            <w:div w:id="206726452">
              <w:marLeft w:val="0"/>
              <w:marRight w:val="0"/>
              <w:marTop w:val="0"/>
              <w:marBottom w:val="0"/>
              <w:divBdr>
                <w:top w:val="none" w:sz="0" w:space="0" w:color="auto"/>
                <w:left w:val="none" w:sz="0" w:space="0" w:color="auto"/>
                <w:bottom w:val="none" w:sz="0" w:space="0" w:color="auto"/>
                <w:right w:val="none" w:sz="0" w:space="0" w:color="auto"/>
              </w:divBdr>
            </w:div>
            <w:div w:id="638388123">
              <w:marLeft w:val="0"/>
              <w:marRight w:val="0"/>
              <w:marTop w:val="0"/>
              <w:marBottom w:val="0"/>
              <w:divBdr>
                <w:top w:val="none" w:sz="0" w:space="0" w:color="auto"/>
                <w:left w:val="none" w:sz="0" w:space="0" w:color="auto"/>
                <w:bottom w:val="none" w:sz="0" w:space="0" w:color="auto"/>
                <w:right w:val="none" w:sz="0" w:space="0" w:color="auto"/>
              </w:divBdr>
            </w:div>
            <w:div w:id="1369451932">
              <w:marLeft w:val="0"/>
              <w:marRight w:val="0"/>
              <w:marTop w:val="0"/>
              <w:marBottom w:val="0"/>
              <w:divBdr>
                <w:top w:val="none" w:sz="0" w:space="0" w:color="auto"/>
                <w:left w:val="none" w:sz="0" w:space="0" w:color="auto"/>
                <w:bottom w:val="none" w:sz="0" w:space="0" w:color="auto"/>
                <w:right w:val="none" w:sz="0" w:space="0" w:color="auto"/>
              </w:divBdr>
            </w:div>
            <w:div w:id="1413700335">
              <w:marLeft w:val="0"/>
              <w:marRight w:val="0"/>
              <w:marTop w:val="0"/>
              <w:marBottom w:val="0"/>
              <w:divBdr>
                <w:top w:val="none" w:sz="0" w:space="0" w:color="auto"/>
                <w:left w:val="none" w:sz="0" w:space="0" w:color="auto"/>
                <w:bottom w:val="none" w:sz="0" w:space="0" w:color="auto"/>
                <w:right w:val="none" w:sz="0" w:space="0" w:color="auto"/>
              </w:divBdr>
            </w:div>
            <w:div w:id="936408886">
              <w:marLeft w:val="0"/>
              <w:marRight w:val="0"/>
              <w:marTop w:val="0"/>
              <w:marBottom w:val="0"/>
              <w:divBdr>
                <w:top w:val="none" w:sz="0" w:space="0" w:color="auto"/>
                <w:left w:val="none" w:sz="0" w:space="0" w:color="auto"/>
                <w:bottom w:val="none" w:sz="0" w:space="0" w:color="auto"/>
                <w:right w:val="none" w:sz="0" w:space="0" w:color="auto"/>
              </w:divBdr>
            </w:div>
            <w:div w:id="1818961019">
              <w:marLeft w:val="0"/>
              <w:marRight w:val="0"/>
              <w:marTop w:val="0"/>
              <w:marBottom w:val="0"/>
              <w:divBdr>
                <w:top w:val="none" w:sz="0" w:space="0" w:color="auto"/>
                <w:left w:val="none" w:sz="0" w:space="0" w:color="auto"/>
                <w:bottom w:val="none" w:sz="0" w:space="0" w:color="auto"/>
                <w:right w:val="none" w:sz="0" w:space="0" w:color="auto"/>
              </w:divBdr>
            </w:div>
            <w:div w:id="481120102">
              <w:marLeft w:val="0"/>
              <w:marRight w:val="0"/>
              <w:marTop w:val="0"/>
              <w:marBottom w:val="0"/>
              <w:divBdr>
                <w:top w:val="none" w:sz="0" w:space="0" w:color="auto"/>
                <w:left w:val="none" w:sz="0" w:space="0" w:color="auto"/>
                <w:bottom w:val="none" w:sz="0" w:space="0" w:color="auto"/>
                <w:right w:val="none" w:sz="0" w:space="0" w:color="auto"/>
              </w:divBdr>
            </w:div>
            <w:div w:id="786850287">
              <w:marLeft w:val="0"/>
              <w:marRight w:val="0"/>
              <w:marTop w:val="0"/>
              <w:marBottom w:val="0"/>
              <w:divBdr>
                <w:top w:val="none" w:sz="0" w:space="0" w:color="auto"/>
                <w:left w:val="none" w:sz="0" w:space="0" w:color="auto"/>
                <w:bottom w:val="none" w:sz="0" w:space="0" w:color="auto"/>
                <w:right w:val="none" w:sz="0" w:space="0" w:color="auto"/>
              </w:divBdr>
            </w:div>
            <w:div w:id="1127119675">
              <w:marLeft w:val="0"/>
              <w:marRight w:val="0"/>
              <w:marTop w:val="0"/>
              <w:marBottom w:val="0"/>
              <w:divBdr>
                <w:top w:val="none" w:sz="0" w:space="0" w:color="auto"/>
                <w:left w:val="none" w:sz="0" w:space="0" w:color="auto"/>
                <w:bottom w:val="none" w:sz="0" w:space="0" w:color="auto"/>
                <w:right w:val="none" w:sz="0" w:space="0" w:color="auto"/>
              </w:divBdr>
            </w:div>
            <w:div w:id="638732106">
              <w:marLeft w:val="0"/>
              <w:marRight w:val="0"/>
              <w:marTop w:val="0"/>
              <w:marBottom w:val="0"/>
              <w:divBdr>
                <w:top w:val="none" w:sz="0" w:space="0" w:color="auto"/>
                <w:left w:val="none" w:sz="0" w:space="0" w:color="auto"/>
                <w:bottom w:val="none" w:sz="0" w:space="0" w:color="auto"/>
                <w:right w:val="none" w:sz="0" w:space="0" w:color="auto"/>
              </w:divBdr>
            </w:div>
            <w:div w:id="2146576641">
              <w:marLeft w:val="0"/>
              <w:marRight w:val="0"/>
              <w:marTop w:val="0"/>
              <w:marBottom w:val="0"/>
              <w:divBdr>
                <w:top w:val="none" w:sz="0" w:space="0" w:color="auto"/>
                <w:left w:val="none" w:sz="0" w:space="0" w:color="auto"/>
                <w:bottom w:val="none" w:sz="0" w:space="0" w:color="auto"/>
                <w:right w:val="none" w:sz="0" w:space="0" w:color="auto"/>
              </w:divBdr>
            </w:div>
            <w:div w:id="637420550">
              <w:marLeft w:val="0"/>
              <w:marRight w:val="0"/>
              <w:marTop w:val="0"/>
              <w:marBottom w:val="0"/>
              <w:divBdr>
                <w:top w:val="none" w:sz="0" w:space="0" w:color="auto"/>
                <w:left w:val="none" w:sz="0" w:space="0" w:color="auto"/>
                <w:bottom w:val="none" w:sz="0" w:space="0" w:color="auto"/>
                <w:right w:val="none" w:sz="0" w:space="0" w:color="auto"/>
              </w:divBdr>
            </w:div>
            <w:div w:id="722023956">
              <w:marLeft w:val="0"/>
              <w:marRight w:val="0"/>
              <w:marTop w:val="0"/>
              <w:marBottom w:val="0"/>
              <w:divBdr>
                <w:top w:val="none" w:sz="0" w:space="0" w:color="auto"/>
                <w:left w:val="none" w:sz="0" w:space="0" w:color="auto"/>
                <w:bottom w:val="none" w:sz="0" w:space="0" w:color="auto"/>
                <w:right w:val="none" w:sz="0" w:space="0" w:color="auto"/>
              </w:divBdr>
            </w:div>
            <w:div w:id="1039284970">
              <w:marLeft w:val="0"/>
              <w:marRight w:val="0"/>
              <w:marTop w:val="0"/>
              <w:marBottom w:val="0"/>
              <w:divBdr>
                <w:top w:val="none" w:sz="0" w:space="0" w:color="auto"/>
                <w:left w:val="none" w:sz="0" w:space="0" w:color="auto"/>
                <w:bottom w:val="none" w:sz="0" w:space="0" w:color="auto"/>
                <w:right w:val="none" w:sz="0" w:space="0" w:color="auto"/>
              </w:divBdr>
            </w:div>
            <w:div w:id="1145003705">
              <w:marLeft w:val="0"/>
              <w:marRight w:val="0"/>
              <w:marTop w:val="0"/>
              <w:marBottom w:val="0"/>
              <w:divBdr>
                <w:top w:val="none" w:sz="0" w:space="0" w:color="auto"/>
                <w:left w:val="none" w:sz="0" w:space="0" w:color="auto"/>
                <w:bottom w:val="none" w:sz="0" w:space="0" w:color="auto"/>
                <w:right w:val="none" w:sz="0" w:space="0" w:color="auto"/>
              </w:divBdr>
            </w:div>
            <w:div w:id="2051878239">
              <w:marLeft w:val="0"/>
              <w:marRight w:val="0"/>
              <w:marTop w:val="0"/>
              <w:marBottom w:val="0"/>
              <w:divBdr>
                <w:top w:val="none" w:sz="0" w:space="0" w:color="auto"/>
                <w:left w:val="none" w:sz="0" w:space="0" w:color="auto"/>
                <w:bottom w:val="none" w:sz="0" w:space="0" w:color="auto"/>
                <w:right w:val="none" w:sz="0" w:space="0" w:color="auto"/>
              </w:divBdr>
            </w:div>
            <w:div w:id="609969627">
              <w:marLeft w:val="0"/>
              <w:marRight w:val="0"/>
              <w:marTop w:val="0"/>
              <w:marBottom w:val="0"/>
              <w:divBdr>
                <w:top w:val="none" w:sz="0" w:space="0" w:color="auto"/>
                <w:left w:val="none" w:sz="0" w:space="0" w:color="auto"/>
                <w:bottom w:val="none" w:sz="0" w:space="0" w:color="auto"/>
                <w:right w:val="none" w:sz="0" w:space="0" w:color="auto"/>
              </w:divBdr>
            </w:div>
            <w:div w:id="792671124">
              <w:marLeft w:val="0"/>
              <w:marRight w:val="0"/>
              <w:marTop w:val="0"/>
              <w:marBottom w:val="0"/>
              <w:divBdr>
                <w:top w:val="none" w:sz="0" w:space="0" w:color="auto"/>
                <w:left w:val="none" w:sz="0" w:space="0" w:color="auto"/>
                <w:bottom w:val="none" w:sz="0" w:space="0" w:color="auto"/>
                <w:right w:val="none" w:sz="0" w:space="0" w:color="auto"/>
              </w:divBdr>
            </w:div>
            <w:div w:id="1059397553">
              <w:marLeft w:val="0"/>
              <w:marRight w:val="0"/>
              <w:marTop w:val="0"/>
              <w:marBottom w:val="0"/>
              <w:divBdr>
                <w:top w:val="none" w:sz="0" w:space="0" w:color="auto"/>
                <w:left w:val="none" w:sz="0" w:space="0" w:color="auto"/>
                <w:bottom w:val="none" w:sz="0" w:space="0" w:color="auto"/>
                <w:right w:val="none" w:sz="0" w:space="0" w:color="auto"/>
              </w:divBdr>
            </w:div>
            <w:div w:id="1466123561">
              <w:marLeft w:val="0"/>
              <w:marRight w:val="0"/>
              <w:marTop w:val="0"/>
              <w:marBottom w:val="0"/>
              <w:divBdr>
                <w:top w:val="none" w:sz="0" w:space="0" w:color="auto"/>
                <w:left w:val="none" w:sz="0" w:space="0" w:color="auto"/>
                <w:bottom w:val="none" w:sz="0" w:space="0" w:color="auto"/>
                <w:right w:val="none" w:sz="0" w:space="0" w:color="auto"/>
              </w:divBdr>
            </w:div>
            <w:div w:id="1274556249">
              <w:marLeft w:val="0"/>
              <w:marRight w:val="0"/>
              <w:marTop w:val="0"/>
              <w:marBottom w:val="0"/>
              <w:divBdr>
                <w:top w:val="none" w:sz="0" w:space="0" w:color="auto"/>
                <w:left w:val="none" w:sz="0" w:space="0" w:color="auto"/>
                <w:bottom w:val="none" w:sz="0" w:space="0" w:color="auto"/>
                <w:right w:val="none" w:sz="0" w:space="0" w:color="auto"/>
              </w:divBdr>
            </w:div>
            <w:div w:id="1955285727">
              <w:marLeft w:val="0"/>
              <w:marRight w:val="0"/>
              <w:marTop w:val="0"/>
              <w:marBottom w:val="0"/>
              <w:divBdr>
                <w:top w:val="none" w:sz="0" w:space="0" w:color="auto"/>
                <w:left w:val="none" w:sz="0" w:space="0" w:color="auto"/>
                <w:bottom w:val="none" w:sz="0" w:space="0" w:color="auto"/>
                <w:right w:val="none" w:sz="0" w:space="0" w:color="auto"/>
              </w:divBdr>
            </w:div>
            <w:div w:id="1607345820">
              <w:marLeft w:val="0"/>
              <w:marRight w:val="0"/>
              <w:marTop w:val="0"/>
              <w:marBottom w:val="0"/>
              <w:divBdr>
                <w:top w:val="none" w:sz="0" w:space="0" w:color="auto"/>
                <w:left w:val="none" w:sz="0" w:space="0" w:color="auto"/>
                <w:bottom w:val="none" w:sz="0" w:space="0" w:color="auto"/>
                <w:right w:val="none" w:sz="0" w:space="0" w:color="auto"/>
              </w:divBdr>
            </w:div>
            <w:div w:id="1230269504">
              <w:marLeft w:val="0"/>
              <w:marRight w:val="0"/>
              <w:marTop w:val="0"/>
              <w:marBottom w:val="0"/>
              <w:divBdr>
                <w:top w:val="none" w:sz="0" w:space="0" w:color="auto"/>
                <w:left w:val="none" w:sz="0" w:space="0" w:color="auto"/>
                <w:bottom w:val="none" w:sz="0" w:space="0" w:color="auto"/>
                <w:right w:val="none" w:sz="0" w:space="0" w:color="auto"/>
              </w:divBdr>
            </w:div>
            <w:div w:id="200558946">
              <w:marLeft w:val="0"/>
              <w:marRight w:val="0"/>
              <w:marTop w:val="0"/>
              <w:marBottom w:val="0"/>
              <w:divBdr>
                <w:top w:val="none" w:sz="0" w:space="0" w:color="auto"/>
                <w:left w:val="none" w:sz="0" w:space="0" w:color="auto"/>
                <w:bottom w:val="none" w:sz="0" w:space="0" w:color="auto"/>
                <w:right w:val="none" w:sz="0" w:space="0" w:color="auto"/>
              </w:divBdr>
            </w:div>
            <w:div w:id="1466200191">
              <w:marLeft w:val="0"/>
              <w:marRight w:val="0"/>
              <w:marTop w:val="0"/>
              <w:marBottom w:val="0"/>
              <w:divBdr>
                <w:top w:val="none" w:sz="0" w:space="0" w:color="auto"/>
                <w:left w:val="none" w:sz="0" w:space="0" w:color="auto"/>
                <w:bottom w:val="none" w:sz="0" w:space="0" w:color="auto"/>
                <w:right w:val="none" w:sz="0" w:space="0" w:color="auto"/>
              </w:divBdr>
            </w:div>
            <w:div w:id="1875926671">
              <w:marLeft w:val="0"/>
              <w:marRight w:val="0"/>
              <w:marTop w:val="0"/>
              <w:marBottom w:val="0"/>
              <w:divBdr>
                <w:top w:val="none" w:sz="0" w:space="0" w:color="auto"/>
                <w:left w:val="none" w:sz="0" w:space="0" w:color="auto"/>
                <w:bottom w:val="none" w:sz="0" w:space="0" w:color="auto"/>
                <w:right w:val="none" w:sz="0" w:space="0" w:color="auto"/>
              </w:divBdr>
            </w:div>
            <w:div w:id="976572377">
              <w:marLeft w:val="0"/>
              <w:marRight w:val="0"/>
              <w:marTop w:val="0"/>
              <w:marBottom w:val="0"/>
              <w:divBdr>
                <w:top w:val="none" w:sz="0" w:space="0" w:color="auto"/>
                <w:left w:val="none" w:sz="0" w:space="0" w:color="auto"/>
                <w:bottom w:val="none" w:sz="0" w:space="0" w:color="auto"/>
                <w:right w:val="none" w:sz="0" w:space="0" w:color="auto"/>
              </w:divBdr>
            </w:div>
            <w:div w:id="1392652951">
              <w:marLeft w:val="0"/>
              <w:marRight w:val="0"/>
              <w:marTop w:val="0"/>
              <w:marBottom w:val="0"/>
              <w:divBdr>
                <w:top w:val="none" w:sz="0" w:space="0" w:color="auto"/>
                <w:left w:val="none" w:sz="0" w:space="0" w:color="auto"/>
                <w:bottom w:val="none" w:sz="0" w:space="0" w:color="auto"/>
                <w:right w:val="none" w:sz="0" w:space="0" w:color="auto"/>
              </w:divBdr>
            </w:div>
            <w:div w:id="1722365719">
              <w:marLeft w:val="0"/>
              <w:marRight w:val="0"/>
              <w:marTop w:val="0"/>
              <w:marBottom w:val="0"/>
              <w:divBdr>
                <w:top w:val="none" w:sz="0" w:space="0" w:color="auto"/>
                <w:left w:val="none" w:sz="0" w:space="0" w:color="auto"/>
                <w:bottom w:val="none" w:sz="0" w:space="0" w:color="auto"/>
                <w:right w:val="none" w:sz="0" w:space="0" w:color="auto"/>
              </w:divBdr>
            </w:div>
            <w:div w:id="49228375">
              <w:marLeft w:val="0"/>
              <w:marRight w:val="0"/>
              <w:marTop w:val="0"/>
              <w:marBottom w:val="0"/>
              <w:divBdr>
                <w:top w:val="none" w:sz="0" w:space="0" w:color="auto"/>
                <w:left w:val="none" w:sz="0" w:space="0" w:color="auto"/>
                <w:bottom w:val="none" w:sz="0" w:space="0" w:color="auto"/>
                <w:right w:val="none" w:sz="0" w:space="0" w:color="auto"/>
              </w:divBdr>
            </w:div>
            <w:div w:id="1903328840">
              <w:marLeft w:val="0"/>
              <w:marRight w:val="0"/>
              <w:marTop w:val="0"/>
              <w:marBottom w:val="0"/>
              <w:divBdr>
                <w:top w:val="none" w:sz="0" w:space="0" w:color="auto"/>
                <w:left w:val="none" w:sz="0" w:space="0" w:color="auto"/>
                <w:bottom w:val="none" w:sz="0" w:space="0" w:color="auto"/>
                <w:right w:val="none" w:sz="0" w:space="0" w:color="auto"/>
              </w:divBdr>
            </w:div>
            <w:div w:id="781189881">
              <w:marLeft w:val="0"/>
              <w:marRight w:val="0"/>
              <w:marTop w:val="0"/>
              <w:marBottom w:val="0"/>
              <w:divBdr>
                <w:top w:val="none" w:sz="0" w:space="0" w:color="auto"/>
                <w:left w:val="none" w:sz="0" w:space="0" w:color="auto"/>
                <w:bottom w:val="none" w:sz="0" w:space="0" w:color="auto"/>
                <w:right w:val="none" w:sz="0" w:space="0" w:color="auto"/>
              </w:divBdr>
            </w:div>
            <w:div w:id="565604590">
              <w:marLeft w:val="0"/>
              <w:marRight w:val="0"/>
              <w:marTop w:val="0"/>
              <w:marBottom w:val="0"/>
              <w:divBdr>
                <w:top w:val="none" w:sz="0" w:space="0" w:color="auto"/>
                <w:left w:val="none" w:sz="0" w:space="0" w:color="auto"/>
                <w:bottom w:val="none" w:sz="0" w:space="0" w:color="auto"/>
                <w:right w:val="none" w:sz="0" w:space="0" w:color="auto"/>
              </w:divBdr>
            </w:div>
            <w:div w:id="346061230">
              <w:marLeft w:val="0"/>
              <w:marRight w:val="0"/>
              <w:marTop w:val="0"/>
              <w:marBottom w:val="0"/>
              <w:divBdr>
                <w:top w:val="none" w:sz="0" w:space="0" w:color="auto"/>
                <w:left w:val="none" w:sz="0" w:space="0" w:color="auto"/>
                <w:bottom w:val="none" w:sz="0" w:space="0" w:color="auto"/>
                <w:right w:val="none" w:sz="0" w:space="0" w:color="auto"/>
              </w:divBdr>
            </w:div>
            <w:div w:id="815537120">
              <w:marLeft w:val="0"/>
              <w:marRight w:val="0"/>
              <w:marTop w:val="0"/>
              <w:marBottom w:val="0"/>
              <w:divBdr>
                <w:top w:val="none" w:sz="0" w:space="0" w:color="auto"/>
                <w:left w:val="none" w:sz="0" w:space="0" w:color="auto"/>
                <w:bottom w:val="none" w:sz="0" w:space="0" w:color="auto"/>
                <w:right w:val="none" w:sz="0" w:space="0" w:color="auto"/>
              </w:divBdr>
            </w:div>
            <w:div w:id="1810391915">
              <w:marLeft w:val="0"/>
              <w:marRight w:val="0"/>
              <w:marTop w:val="0"/>
              <w:marBottom w:val="0"/>
              <w:divBdr>
                <w:top w:val="none" w:sz="0" w:space="0" w:color="auto"/>
                <w:left w:val="none" w:sz="0" w:space="0" w:color="auto"/>
                <w:bottom w:val="none" w:sz="0" w:space="0" w:color="auto"/>
                <w:right w:val="none" w:sz="0" w:space="0" w:color="auto"/>
              </w:divBdr>
            </w:div>
            <w:div w:id="4186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0.wdp"/><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hdphoto" Target="media/hdphoto20.wdp"/><Relationship Id="rId20" Type="http://schemas.microsoft.com/office/2007/relationships/hdphoto" Target="media/hdphoto30.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hatscotlandthinks.org/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B7DB-15DB-4434-AEED-EF72DC34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2017-07-10T16:45:00Z</cp:lastPrinted>
  <dcterms:created xsi:type="dcterms:W3CDTF">2017-07-11T07:36:00Z</dcterms:created>
  <dcterms:modified xsi:type="dcterms:W3CDTF">2017-07-11T07:56:00Z</dcterms:modified>
</cp:coreProperties>
</file>